
<file path=[Content_Types].xml><?xml version="1.0" encoding="utf-8"?>
<Types xmlns="http://schemas.openxmlformats.org/package/2006/content-types">
  <Default Extension="png" ContentType="image/png"/>
  <Default Extension="jfif" ContentType="image/jpe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hAnsiTheme="majorHAnsi" w:cstheme="majorHAnsi"/>
        </w:rPr>
        <w:id w:val="734050645"/>
        <w:docPartObj>
          <w:docPartGallery w:val="Cover Pages"/>
          <w:docPartUnique/>
        </w:docPartObj>
      </w:sdtPr>
      <w:sdtEndPr/>
      <w:sdtContent>
        <w:p w:rsidR="00CF6A6E" w:rsidRPr="00CF6A6E" w:rsidRDefault="001F19AA" w:rsidP="001F19AA">
          <w:pPr>
            <w:spacing w:after="0" w:line="240" w:lineRule="auto"/>
            <w:rPr>
              <w:rFonts w:asciiTheme="majorHAnsi" w:hAnsiTheme="majorHAnsi" w:cstheme="majorHAnsi"/>
            </w:rPr>
          </w:pPr>
          <w:r w:rsidRPr="000F3A76">
            <w:rPr>
              <w:noProof/>
              <w:lang w:eastAsia="fr-FR"/>
            </w:rPr>
            <w:drawing>
              <wp:anchor distT="0" distB="0" distL="114300" distR="114300" simplePos="0" relativeHeight="251683840" behindDoc="0" locked="0" layoutInCell="1" allowOverlap="1" wp14:anchorId="523752B3" wp14:editId="2F6C8329">
                <wp:simplePos x="0" y="0"/>
                <wp:positionH relativeFrom="column">
                  <wp:posOffset>4695825</wp:posOffset>
                </wp:positionH>
                <wp:positionV relativeFrom="paragraph">
                  <wp:posOffset>123190</wp:posOffset>
                </wp:positionV>
                <wp:extent cx="1515110" cy="872490"/>
                <wp:effectExtent l="0" t="0" r="889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8">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81792" behindDoc="0" locked="0" layoutInCell="1" allowOverlap="1" wp14:anchorId="36EAA9EB" wp14:editId="638568F2">
                <wp:simplePos x="0" y="0"/>
                <wp:positionH relativeFrom="margin">
                  <wp:posOffset>-228600</wp:posOffset>
                </wp:positionH>
                <wp:positionV relativeFrom="paragraph">
                  <wp:posOffset>-635</wp:posOffset>
                </wp:positionV>
                <wp:extent cx="1357630" cy="1228725"/>
                <wp:effectExtent l="0" t="0" r="0" b="0"/>
                <wp:wrapNone/>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5B0" w:rsidRDefault="004275B0" w:rsidP="001F19AA">
          <w:pPr>
            <w:spacing w:after="0" w:line="240" w:lineRule="auto"/>
            <w:ind w:left="360"/>
            <w:rPr>
              <w:rFonts w:asciiTheme="majorHAnsi" w:hAnsiTheme="majorHAnsi" w:cstheme="majorHAnsi"/>
            </w:rPr>
          </w:pPr>
          <w:r w:rsidRPr="001F19AA">
            <w:rPr>
              <w:rFonts w:asciiTheme="majorHAnsi" w:hAnsiTheme="majorHAnsi" w:cstheme="majorHAnsi"/>
            </w:rPr>
            <w:t xml:space="preserve"> </w:t>
          </w: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tbl>
          <w:tblPr>
            <w:tblStyle w:val="Grilledutableau"/>
            <w:tblW w:w="0" w:type="auto"/>
            <w:tblInd w:w="360" w:type="dxa"/>
            <w:tblLook w:val="04A0" w:firstRow="1" w:lastRow="0" w:firstColumn="1" w:lastColumn="0" w:noHBand="0" w:noVBand="1"/>
          </w:tblPr>
          <w:tblGrid>
            <w:gridCol w:w="9062"/>
          </w:tblGrid>
          <w:tr w:rsidR="001F19AA" w:rsidTr="001F19AA">
            <w:tc>
              <w:tcPr>
                <w:tcW w:w="9062" w:type="dxa"/>
              </w:tcPr>
              <w:p w:rsidR="003A1580" w:rsidRPr="003A1580" w:rsidRDefault="003A1580" w:rsidP="001F19AA">
                <w:pPr>
                  <w:jc w:val="center"/>
                  <w:rPr>
                    <w:rFonts w:ascii="Marianne" w:hAnsi="Marianne" w:cstheme="majorHAnsi"/>
                    <w:b/>
                    <w:color w:val="44546A" w:themeColor="text2"/>
                    <w:sz w:val="72"/>
                    <w:szCs w:val="72"/>
                  </w:rPr>
                </w:pPr>
                <w:r w:rsidRPr="003A1580">
                  <w:rPr>
                    <w:rFonts w:ascii="Marianne" w:hAnsi="Marianne" w:cstheme="majorHAnsi"/>
                    <w:b/>
                    <w:color w:val="44546A" w:themeColor="text2"/>
                    <w:sz w:val="72"/>
                    <w:szCs w:val="72"/>
                  </w:rPr>
                  <w:t>Annexes</w:t>
                </w:r>
              </w:p>
              <w:p w:rsidR="001F19AA" w:rsidRPr="001F19AA" w:rsidRDefault="001F19AA" w:rsidP="001F19AA">
                <w:pPr>
                  <w:jc w:val="center"/>
                  <w:rPr>
                    <w:rFonts w:ascii="Marianne" w:hAnsi="Marianne" w:cstheme="majorHAnsi"/>
                    <w:color w:val="44546A" w:themeColor="text2"/>
                    <w:sz w:val="72"/>
                    <w:szCs w:val="72"/>
                  </w:rPr>
                </w:pPr>
                <w:r w:rsidRPr="001F19AA">
                  <w:rPr>
                    <w:rFonts w:ascii="Marianne" w:hAnsi="Marianne" w:cstheme="majorHAnsi"/>
                    <w:color w:val="44546A" w:themeColor="text2"/>
                    <w:sz w:val="72"/>
                    <w:szCs w:val="72"/>
                  </w:rPr>
                  <w:t>APPEL À PROJETS</w:t>
                </w:r>
              </w:p>
              <w:p w:rsidR="001F19AA" w:rsidRPr="001F19AA" w:rsidRDefault="001F19AA" w:rsidP="001F19AA">
                <w:pPr>
                  <w:jc w:val="center"/>
                  <w:rPr>
                    <w:rFonts w:ascii="Marianne" w:hAnsi="Marianne" w:cstheme="majorHAnsi"/>
                    <w:b/>
                    <w:sz w:val="48"/>
                    <w:szCs w:val="48"/>
                  </w:rPr>
                </w:pPr>
                <w:r w:rsidRPr="001F19AA">
                  <w:rPr>
                    <w:rFonts w:ascii="Marianne" w:hAnsi="Marianne" w:cstheme="majorHAnsi"/>
                    <w:b/>
                    <w:color w:val="44546A" w:themeColor="text2"/>
                    <w:sz w:val="48"/>
                    <w:szCs w:val="48"/>
                  </w:rPr>
                  <w:t>Alimentation et activité physique des jeunes de 16 à 25 ans</w:t>
                </w:r>
              </w:p>
            </w:tc>
          </w:tr>
        </w:tbl>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Default="001F19AA" w:rsidP="001F19AA">
          <w:pPr>
            <w:spacing w:after="0" w:line="240" w:lineRule="auto"/>
            <w:ind w:left="360"/>
            <w:rPr>
              <w:rFonts w:asciiTheme="majorHAnsi" w:hAnsiTheme="majorHAnsi" w:cstheme="majorHAnsi"/>
            </w:rPr>
          </w:pPr>
        </w:p>
        <w:p w:rsidR="001F19AA" w:rsidRPr="001F19AA" w:rsidRDefault="001F19AA" w:rsidP="001F19AA">
          <w:pPr>
            <w:spacing w:after="0" w:line="240" w:lineRule="auto"/>
            <w:ind w:left="360"/>
            <w:rPr>
              <w:rFonts w:asciiTheme="majorHAnsi" w:hAnsiTheme="majorHAnsi" w:cstheme="majorHAnsi"/>
            </w:rPr>
          </w:pPr>
        </w:p>
        <w:p w:rsidR="004275B0" w:rsidRPr="004275B0" w:rsidRDefault="00CF6A6E" w:rsidP="001F19AA">
          <w:pPr>
            <w:pStyle w:val="Paragraphedeliste"/>
            <w:numPr>
              <w:ilvl w:val="0"/>
              <w:numId w:val="9"/>
            </w:numPr>
            <w:spacing w:after="0" w:line="240" w:lineRule="auto"/>
            <w:contextualSpacing w:val="0"/>
          </w:pPr>
          <w:r w:rsidRPr="00CF6A6E">
            <w:rPr>
              <w:rFonts w:asciiTheme="majorHAnsi" w:hAnsiTheme="majorHAnsi" w:cstheme="majorHAnsi"/>
            </w:rPr>
            <w:br w:type="page"/>
          </w:r>
        </w:p>
        <w:p w:rsidR="00CF6A6E" w:rsidRPr="00CF6A6E" w:rsidRDefault="006D3790">
          <w:pPr>
            <w:rPr>
              <w:rFonts w:asciiTheme="majorHAnsi" w:hAnsiTheme="majorHAnsi" w:cstheme="majorHAnsi"/>
            </w:rPr>
          </w:pPr>
        </w:p>
      </w:sdtContent>
    </w:sdt>
    <w:p w:rsidR="00C61833" w:rsidRPr="003A1580" w:rsidRDefault="007234E8" w:rsidP="003A1580">
      <w:pPr>
        <w:spacing w:before="120" w:after="0" w:line="240" w:lineRule="auto"/>
        <w:jc w:val="center"/>
        <w:rPr>
          <w:rFonts w:asciiTheme="majorHAnsi" w:hAnsiTheme="majorHAnsi" w:cstheme="majorHAnsi"/>
          <w:b/>
          <w:sz w:val="24"/>
          <w:szCs w:val="24"/>
          <w:u w:val="single"/>
        </w:rPr>
      </w:pPr>
      <w:r w:rsidRPr="003A1580">
        <w:rPr>
          <w:rFonts w:asciiTheme="majorHAnsi" w:hAnsiTheme="majorHAnsi" w:cstheme="majorHAnsi"/>
          <w:b/>
          <w:sz w:val="24"/>
          <w:szCs w:val="24"/>
          <w:u w:val="single"/>
        </w:rPr>
        <w:t xml:space="preserve">Annexe 1 : </w:t>
      </w:r>
      <w:r w:rsidR="00881EB2" w:rsidRPr="003A1580">
        <w:rPr>
          <w:rFonts w:asciiTheme="majorHAnsi" w:hAnsiTheme="majorHAnsi" w:cstheme="majorHAnsi"/>
          <w:b/>
          <w:sz w:val="24"/>
          <w:szCs w:val="24"/>
          <w:u w:val="single"/>
        </w:rPr>
        <w:t>Recommandations issues du Pôle Ressources en Promotion de la Santé</w:t>
      </w:r>
      <w:r w:rsidR="00F839C9" w:rsidRPr="003A1580">
        <w:rPr>
          <w:rFonts w:asciiTheme="majorHAnsi" w:hAnsiTheme="majorHAnsi" w:cstheme="majorHAnsi"/>
          <w:b/>
          <w:sz w:val="24"/>
          <w:szCs w:val="24"/>
          <w:u w:val="single"/>
        </w:rPr>
        <w:t xml:space="preserve"> (PRPS)</w:t>
      </w:r>
    </w:p>
    <w:p w:rsidR="00F839C9" w:rsidRPr="00F839C9" w:rsidRDefault="00F839C9" w:rsidP="003150A9">
      <w:pPr>
        <w:spacing w:before="120" w:after="0" w:line="240" w:lineRule="auto"/>
        <w:rPr>
          <w:rFonts w:asciiTheme="majorHAnsi" w:hAnsiTheme="majorHAnsi" w:cstheme="majorHAnsi"/>
        </w:rPr>
      </w:pPr>
      <w:r w:rsidRPr="00F839C9">
        <w:rPr>
          <w:rFonts w:asciiTheme="majorHAnsi" w:hAnsiTheme="majorHAnsi" w:cstheme="majorHAnsi"/>
        </w:rPr>
        <w:t xml:space="preserve">NB : </w:t>
      </w:r>
      <w:r>
        <w:rPr>
          <w:rFonts w:asciiTheme="majorHAnsi" w:hAnsiTheme="majorHAnsi" w:cstheme="majorHAnsi"/>
        </w:rPr>
        <w:t>Le travail réalisé par le PRPS portait sur les enfants et les jeunes, de 0 à 18 ans ; les résultats présentés ci-après ne sont donc pas spécifiques aux 16-25 ans.</w:t>
      </w:r>
    </w:p>
    <w:p w:rsidR="00881EB2" w:rsidRPr="00F839C9" w:rsidRDefault="00881EB2" w:rsidP="003150A9">
      <w:pPr>
        <w:spacing w:before="360" w:after="0" w:line="240" w:lineRule="auto"/>
        <w:rPr>
          <w:rFonts w:asciiTheme="majorHAnsi" w:hAnsiTheme="majorHAnsi" w:cstheme="majorHAnsi"/>
          <w:u w:val="single"/>
        </w:rPr>
      </w:pPr>
      <w:r w:rsidRPr="00F839C9">
        <w:rPr>
          <w:rFonts w:asciiTheme="majorHAnsi" w:hAnsiTheme="majorHAnsi" w:cstheme="majorHAnsi"/>
          <w:u w:val="single"/>
        </w:rPr>
        <w:t xml:space="preserve">1) Recommandations nutritionnelles issues de la synthèse documentaire  </w:t>
      </w:r>
    </w:p>
    <w:p w:rsidR="00881EB2" w:rsidRPr="00AE7A9A" w:rsidRDefault="00AE7A9A" w:rsidP="003150A9">
      <w:pPr>
        <w:spacing w:before="240" w:after="0" w:line="240" w:lineRule="auto"/>
        <w:rPr>
          <w:rFonts w:asciiTheme="majorHAnsi" w:hAnsiTheme="majorHAnsi" w:cstheme="majorHAnsi"/>
          <w:b/>
        </w:rPr>
      </w:pPr>
      <w:r w:rsidRPr="00AE7A9A">
        <w:rPr>
          <w:rFonts w:asciiTheme="majorHAnsi" w:hAnsiTheme="majorHAnsi" w:cstheme="majorHAnsi"/>
          <w:b/>
        </w:rPr>
        <w:t>12 recommandations relatives à la nutrition :</w:t>
      </w:r>
    </w:p>
    <w:p w:rsidR="00AE7A9A" w:rsidRPr="00AE7A9A" w:rsidRDefault="00AE7A9A" w:rsidP="003150A9">
      <w:pPr>
        <w:pStyle w:val="Paragraphedeliste"/>
        <w:numPr>
          <w:ilvl w:val="0"/>
          <w:numId w:val="17"/>
        </w:numPr>
        <w:spacing w:before="120" w:after="0" w:line="240" w:lineRule="auto"/>
        <w:jc w:val="both"/>
        <w:rPr>
          <w:rFonts w:asciiTheme="majorHAnsi" w:hAnsiTheme="majorHAnsi" w:cstheme="majorHAnsi"/>
        </w:rPr>
      </w:pPr>
      <w:r w:rsidRPr="00AE7A9A">
        <w:rPr>
          <w:rFonts w:asciiTheme="majorHAnsi" w:hAnsiTheme="majorHAnsi" w:cstheme="majorHAnsi"/>
        </w:rPr>
        <w:t>Manger chaque jour des aliments issus de chaque groupe d'aliments, en suivant les repères de consommation du PNNS.</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Consommer des légumineuses et des fruits à coque sans sel, de façon régulière.</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Privilégier les produits complets et semi-complets pour les produits céréaliers (pain, pâtes, riz, etc.).</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 xml:space="preserve">Privilégier les solides sur les liquides car ils sont plus rassasiants. </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 xml:space="preserve">Proposer une bonne qualité nutritionnelle et organoleptique des repas servis en collectivité, en adéquation avec les besoins spécifiques des enfants à chaque âge ainsi que les exigences de la réglementation. </w:t>
      </w:r>
    </w:p>
    <w:p w:rsidR="00AE7A9A" w:rsidRPr="00AE7A9A" w:rsidRDefault="00AE7A9A" w:rsidP="003150A9">
      <w:pPr>
        <w:numPr>
          <w:ilvl w:val="0"/>
          <w:numId w:val="17"/>
        </w:numPr>
        <w:spacing w:before="120" w:after="0" w:line="240" w:lineRule="auto"/>
        <w:ind w:left="714" w:hanging="357"/>
        <w:jc w:val="both"/>
        <w:rPr>
          <w:rFonts w:asciiTheme="majorHAnsi" w:hAnsiTheme="majorHAnsi" w:cstheme="majorHAnsi"/>
        </w:rPr>
      </w:pPr>
      <w:r w:rsidRPr="00AE7A9A">
        <w:rPr>
          <w:rFonts w:asciiTheme="majorHAnsi" w:hAnsiTheme="majorHAnsi" w:cstheme="majorHAnsi"/>
        </w:rPr>
        <w:t xml:space="preserve">Respecter ses propres sensations alimentaires (faim, rassasiement, satiété) est indispensable pour se nourrir en fonction de ses propres besoins au quotidien. </w:t>
      </w:r>
    </w:p>
    <w:p w:rsidR="00AE7A9A" w:rsidRPr="00AE7A9A" w:rsidRDefault="00AE7A9A" w:rsidP="003150A9">
      <w:pPr>
        <w:numPr>
          <w:ilvl w:val="0"/>
          <w:numId w:val="17"/>
        </w:numPr>
        <w:spacing w:before="120" w:after="0" w:line="240" w:lineRule="auto"/>
        <w:ind w:left="714" w:hanging="357"/>
        <w:jc w:val="both"/>
        <w:rPr>
          <w:rFonts w:asciiTheme="majorHAnsi" w:hAnsiTheme="majorHAnsi" w:cstheme="majorHAnsi"/>
        </w:rPr>
      </w:pPr>
      <w:r w:rsidRPr="00AE7A9A">
        <w:rPr>
          <w:rFonts w:asciiTheme="majorHAnsi" w:hAnsiTheme="majorHAnsi" w:cstheme="majorHAnsi"/>
        </w:rPr>
        <w:t xml:space="preserve">Prendre le temps de mâcher (il faut laisser le temps au corps d’envoyer les signaux de satiété de l’estomac vers le cerveau). </w:t>
      </w:r>
    </w:p>
    <w:p w:rsidR="00AE7A9A" w:rsidRPr="00AE7A9A" w:rsidRDefault="00AE7A9A" w:rsidP="003150A9">
      <w:pPr>
        <w:numPr>
          <w:ilvl w:val="0"/>
          <w:numId w:val="17"/>
        </w:numPr>
        <w:spacing w:before="120" w:after="0" w:line="240" w:lineRule="auto"/>
        <w:ind w:left="714" w:hanging="357"/>
        <w:jc w:val="both"/>
        <w:rPr>
          <w:rFonts w:asciiTheme="majorHAnsi" w:hAnsiTheme="majorHAnsi" w:cstheme="majorHAnsi"/>
        </w:rPr>
      </w:pPr>
      <w:r w:rsidRPr="00AE7A9A">
        <w:rPr>
          <w:rFonts w:asciiTheme="majorHAnsi" w:hAnsiTheme="majorHAnsi" w:cstheme="majorHAnsi"/>
        </w:rPr>
        <w:t>Prendre le repas assis, dans le calme, en évitant les écrans et y consacrer un temps suffisamment important pour ressentir progressivement la sensation de satiété.</w:t>
      </w:r>
    </w:p>
    <w:p w:rsidR="00AE7A9A" w:rsidRPr="00AE7A9A" w:rsidRDefault="00AE7A9A" w:rsidP="003150A9">
      <w:pPr>
        <w:numPr>
          <w:ilvl w:val="0"/>
          <w:numId w:val="17"/>
        </w:numPr>
        <w:spacing w:before="120" w:after="0" w:line="240" w:lineRule="auto"/>
        <w:ind w:left="714" w:hanging="357"/>
        <w:jc w:val="both"/>
        <w:rPr>
          <w:rFonts w:asciiTheme="majorHAnsi" w:hAnsiTheme="majorHAnsi" w:cstheme="majorHAnsi"/>
        </w:rPr>
      </w:pPr>
      <w:r w:rsidRPr="00AE7A9A">
        <w:rPr>
          <w:rFonts w:asciiTheme="majorHAnsi" w:hAnsiTheme="majorHAnsi" w:cstheme="majorHAnsi"/>
        </w:rPr>
        <w:t xml:space="preserve">Tenir compte de la variabilité de l’appétit d’un jour à l’autre et même d’un repas sur l’autre ; donc ne pas (se) « forcer » à finir son assiette, car nous n’avons pas toujours les mêmes besoins au même moment. </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 xml:space="preserve">Faire du temps de repas en collectivité un temps de pause, mais également un temps éducatif. </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 xml:space="preserve">Offrir des conditions permettant de favoriser une prise de repas agréable en collectivité. </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Eviter de manger seul en faisant autre chose comme regarder la télé ou consulter son portable.</w:t>
      </w:r>
      <w:r w:rsidRPr="00AE7A9A">
        <w:rPr>
          <w:rFonts w:asciiTheme="majorHAnsi" w:hAnsiTheme="majorHAnsi" w:cstheme="majorHAnsi"/>
          <w:color w:val="FF3399"/>
        </w:rPr>
        <w:t xml:space="preserve"> </w:t>
      </w:r>
    </w:p>
    <w:p w:rsidR="00AE7A9A" w:rsidRPr="00AE7A9A" w:rsidRDefault="00AE7A9A" w:rsidP="003150A9">
      <w:pPr>
        <w:spacing w:before="240" w:after="0" w:line="240" w:lineRule="auto"/>
        <w:rPr>
          <w:rFonts w:asciiTheme="majorHAnsi" w:hAnsiTheme="majorHAnsi" w:cstheme="majorHAnsi"/>
          <w:b/>
        </w:rPr>
      </w:pPr>
      <w:r w:rsidRPr="00AE7A9A">
        <w:rPr>
          <w:rFonts w:asciiTheme="majorHAnsi" w:hAnsiTheme="majorHAnsi" w:cstheme="majorHAnsi"/>
          <w:b/>
        </w:rPr>
        <w:t>5 recommandations relatives à l’éducation alimentaire saine et durable :</w:t>
      </w:r>
    </w:p>
    <w:p w:rsidR="00AE7A9A" w:rsidRPr="00AE7A9A" w:rsidRDefault="00AE7A9A" w:rsidP="003150A9">
      <w:pPr>
        <w:pStyle w:val="Paragraphedeliste"/>
        <w:numPr>
          <w:ilvl w:val="0"/>
          <w:numId w:val="17"/>
        </w:numPr>
        <w:spacing w:before="120" w:after="0" w:line="240" w:lineRule="auto"/>
        <w:jc w:val="both"/>
        <w:rPr>
          <w:rFonts w:asciiTheme="majorHAnsi" w:hAnsiTheme="majorHAnsi" w:cstheme="majorHAnsi"/>
        </w:rPr>
      </w:pPr>
      <w:r w:rsidRPr="00AE7A9A">
        <w:rPr>
          <w:rFonts w:asciiTheme="majorHAnsi" w:hAnsiTheme="majorHAnsi" w:cstheme="majorHAnsi"/>
        </w:rPr>
        <w:t xml:space="preserve">Privilégier l’utilisation de produits bruts, les aliments de saison, les circuits courts et les modes de production respectueux de l’environnement, limitant notamment l’usage des pesticides. </w:t>
      </w:r>
      <w:r w:rsidRPr="00AE7A9A">
        <w:rPr>
          <w:rFonts w:asciiTheme="majorHAnsi" w:eastAsia="Times New Roman" w:hAnsiTheme="majorHAnsi" w:cstheme="majorHAnsi"/>
          <w:bCs/>
          <w:color w:val="000000"/>
        </w:rPr>
        <w:t>Diversifier son alimentation et manger bio, local, de saison.</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Prendre conscience du risque d’un apport excessif de protéines animales : Consommer au minimum 85 % de produits végétaux, au maximum 15 % de produits animaux.</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lastRenderedPageBreak/>
        <w:t>Varier les fruits et légumes mais aussi les céréales, les viandes, les poissons, etc. et les textures</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hAnsiTheme="majorHAnsi" w:cstheme="majorHAnsi"/>
        </w:rPr>
        <w:t xml:space="preserve">Privilégier les huiles riches en oméga 3 et 6 dans un rapport 80% d’oméga-3 et 20% d’oméga-6. </w:t>
      </w:r>
    </w:p>
    <w:p w:rsidR="00AE7A9A" w:rsidRPr="00AE7A9A" w:rsidRDefault="00AE7A9A" w:rsidP="003150A9">
      <w:pPr>
        <w:pStyle w:val="Paragraphedeliste"/>
        <w:numPr>
          <w:ilvl w:val="0"/>
          <w:numId w:val="17"/>
        </w:numPr>
        <w:spacing w:before="120" w:after="0" w:line="240" w:lineRule="auto"/>
        <w:ind w:left="714" w:hanging="357"/>
        <w:contextualSpacing w:val="0"/>
        <w:jc w:val="both"/>
        <w:rPr>
          <w:rFonts w:asciiTheme="majorHAnsi" w:hAnsiTheme="majorHAnsi" w:cstheme="majorHAnsi"/>
        </w:rPr>
      </w:pPr>
      <w:r w:rsidRPr="00AE7A9A">
        <w:rPr>
          <w:rFonts w:asciiTheme="majorHAnsi" w:eastAsia="Times New Roman" w:hAnsiTheme="majorHAnsi" w:cstheme="majorHAnsi"/>
          <w:bCs/>
          <w:color w:val="000000"/>
        </w:rPr>
        <w:t>Limiter les produits ultra-transformés à 330 kcal /jour maximum pour un adulte</w:t>
      </w:r>
    </w:p>
    <w:p w:rsidR="003150A9" w:rsidRDefault="00AE7A9A" w:rsidP="003150A9">
      <w:pPr>
        <w:spacing w:before="240" w:after="0" w:line="240" w:lineRule="auto"/>
        <w:rPr>
          <w:rFonts w:asciiTheme="majorHAnsi" w:hAnsiTheme="majorHAnsi" w:cstheme="majorHAnsi"/>
          <w:b/>
        </w:rPr>
      </w:pPr>
      <w:r>
        <w:rPr>
          <w:rFonts w:asciiTheme="majorHAnsi" w:hAnsiTheme="majorHAnsi" w:cstheme="majorHAnsi"/>
          <w:b/>
        </w:rPr>
        <w:t xml:space="preserve"> </w:t>
      </w:r>
    </w:p>
    <w:p w:rsidR="003150A9" w:rsidRDefault="003150A9">
      <w:pPr>
        <w:rPr>
          <w:rFonts w:asciiTheme="majorHAnsi" w:hAnsiTheme="majorHAnsi" w:cstheme="majorHAnsi"/>
          <w:b/>
        </w:rPr>
      </w:pPr>
      <w:r>
        <w:rPr>
          <w:rFonts w:asciiTheme="majorHAnsi" w:hAnsiTheme="majorHAnsi" w:cstheme="majorHAnsi"/>
          <w:b/>
        </w:rPr>
        <w:br w:type="page"/>
      </w:r>
    </w:p>
    <w:p w:rsidR="00881EB2" w:rsidRDefault="00881EB2" w:rsidP="003150A9">
      <w:pPr>
        <w:spacing w:before="240" w:after="0" w:line="240" w:lineRule="auto"/>
        <w:rPr>
          <w:rFonts w:asciiTheme="majorHAnsi" w:hAnsiTheme="majorHAnsi" w:cstheme="majorHAnsi"/>
          <w:u w:val="single"/>
        </w:rPr>
      </w:pPr>
      <w:r>
        <w:rPr>
          <w:rFonts w:asciiTheme="majorHAnsi" w:hAnsiTheme="majorHAnsi" w:cstheme="majorHAnsi"/>
          <w:u w:val="single"/>
        </w:rPr>
        <w:lastRenderedPageBreak/>
        <w:t>2) Critères de réussite et points de vigilance pour la mise en œuvre d’une action de promotion de l’alimentation équilibrée, saine et durable auprès des enfants et des jeunes.</w:t>
      </w:r>
    </w:p>
    <w:p w:rsidR="00881EB2" w:rsidRDefault="00881EB2" w:rsidP="003150A9">
      <w:pPr>
        <w:spacing w:before="120" w:after="120" w:line="240" w:lineRule="auto"/>
        <w:rPr>
          <w:rFonts w:asciiTheme="majorHAnsi" w:hAnsiTheme="majorHAnsi" w:cstheme="majorHAnsi"/>
        </w:rPr>
      </w:pPr>
      <w:r w:rsidRPr="00881EB2">
        <w:rPr>
          <w:rFonts w:asciiTheme="majorHAnsi" w:hAnsiTheme="majorHAnsi" w:cstheme="majorHAnsi"/>
        </w:rPr>
        <w:t>L</w:t>
      </w:r>
      <w:r>
        <w:rPr>
          <w:rFonts w:asciiTheme="majorHAnsi" w:hAnsiTheme="majorHAnsi" w:cstheme="majorHAnsi"/>
        </w:rPr>
        <w:t xml:space="preserve">es recommandations suivantes sont issues de la réflexion menée avec </w:t>
      </w:r>
      <w:r w:rsidR="00F839C9">
        <w:rPr>
          <w:rFonts w:asciiTheme="majorHAnsi" w:hAnsiTheme="majorHAnsi" w:cstheme="majorHAnsi"/>
        </w:rPr>
        <w:t>l</w:t>
      </w:r>
      <w:r>
        <w:rPr>
          <w:rFonts w:asciiTheme="majorHAnsi" w:hAnsiTheme="majorHAnsi" w:cstheme="majorHAnsi"/>
        </w:rPr>
        <w:t>es acteurs de terrain intervenant auprès de la jeunesse (institutions, collectivités, accueil et insertion jeunesse, etc.)</w:t>
      </w:r>
    </w:p>
    <w:tbl>
      <w:tblPr>
        <w:tblStyle w:val="Grilledutableau"/>
        <w:tblW w:w="0" w:type="auto"/>
        <w:tblLook w:val="04A0" w:firstRow="1" w:lastRow="0" w:firstColumn="1" w:lastColumn="0" w:noHBand="0" w:noVBand="1"/>
      </w:tblPr>
      <w:tblGrid>
        <w:gridCol w:w="4984"/>
        <w:gridCol w:w="4984"/>
      </w:tblGrid>
      <w:tr w:rsidR="003150A9" w:rsidTr="003150A9">
        <w:tc>
          <w:tcPr>
            <w:tcW w:w="4984" w:type="dxa"/>
          </w:tcPr>
          <w:p w:rsidR="003150A9" w:rsidRDefault="003150A9" w:rsidP="003150A9">
            <w:pPr>
              <w:rPr>
                <w:rFonts w:asciiTheme="majorHAnsi" w:hAnsiTheme="majorHAnsi" w:cstheme="majorHAnsi"/>
              </w:rPr>
            </w:pPr>
            <w:r w:rsidRPr="007234E8">
              <w:rPr>
                <w:rFonts w:asciiTheme="majorHAnsi" w:hAnsiTheme="majorHAnsi" w:cstheme="majorHAnsi"/>
              </w:rPr>
              <w:t>Recommandations pour REUSSIR les interventions</w:t>
            </w:r>
          </w:p>
        </w:tc>
        <w:tc>
          <w:tcPr>
            <w:tcW w:w="4984" w:type="dxa"/>
          </w:tcPr>
          <w:p w:rsidR="003150A9" w:rsidRDefault="003150A9" w:rsidP="003150A9">
            <w:pPr>
              <w:rPr>
                <w:rFonts w:asciiTheme="majorHAnsi" w:hAnsiTheme="majorHAnsi" w:cstheme="majorHAnsi"/>
              </w:rPr>
            </w:pPr>
            <w:r w:rsidRPr="007234E8">
              <w:rPr>
                <w:rFonts w:asciiTheme="majorHAnsi" w:hAnsiTheme="majorHAnsi" w:cstheme="majorHAnsi"/>
              </w:rPr>
              <w:t>Recommandations pour SABORDER les interventions</w:t>
            </w:r>
          </w:p>
        </w:tc>
      </w:tr>
      <w:tr w:rsidR="003150A9" w:rsidTr="003150A9">
        <w:tc>
          <w:tcPr>
            <w:tcW w:w="4984" w:type="dxa"/>
          </w:tcPr>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Rechercher l’autonomie des acteurs de terrain</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Co-construire l’action avec le public</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Associer les adultes encadrant le projet et travailler la cohérence des discours vers les enfants et les adolescents</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Connaître et appliquer la méthodologie de projet</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Adapter ses méthodes d’animation</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Veiller au portage hiérarchique et politique dans le temps</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Prendre appui sur la diversité des acteurs locaux</w:t>
            </w:r>
          </w:p>
          <w:p w:rsidR="003150A9" w:rsidRPr="007234E8" w:rsidRDefault="003150A9" w:rsidP="003150A9">
            <w:pPr>
              <w:rPr>
                <w:rFonts w:asciiTheme="majorHAnsi" w:hAnsiTheme="majorHAnsi" w:cstheme="majorHAnsi"/>
              </w:rPr>
            </w:pPr>
          </w:p>
        </w:tc>
        <w:tc>
          <w:tcPr>
            <w:tcW w:w="4984" w:type="dxa"/>
          </w:tcPr>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Ignorer les besoins de la population</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Laisser de côté les parents</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Intervenir sans se soucier de l’avant et de l’après</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Mettre en œuvre des techniques d’animation inadaptées</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Eviter de questionner ses méthodes d’intervention</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Avoir des objectifs trop ambitieux et trop nombreux</w:t>
            </w:r>
          </w:p>
          <w:p w:rsidR="003150A9"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Oublier d’évaluer pour ne pas corriger ou améliorer l’intervention</w:t>
            </w:r>
          </w:p>
          <w:p w:rsidR="003150A9" w:rsidRPr="007234E8" w:rsidRDefault="003150A9" w:rsidP="003150A9">
            <w:pPr>
              <w:numPr>
                <w:ilvl w:val="0"/>
                <w:numId w:val="10"/>
              </w:numPr>
              <w:contextualSpacing/>
              <w:rPr>
                <w:rFonts w:asciiTheme="majorHAnsi" w:hAnsiTheme="majorHAnsi" w:cstheme="majorHAnsi"/>
              </w:rPr>
            </w:pPr>
            <w:r w:rsidRPr="007234E8">
              <w:rPr>
                <w:rFonts w:asciiTheme="majorHAnsi" w:hAnsiTheme="majorHAnsi" w:cstheme="majorHAnsi"/>
              </w:rPr>
              <w:t>Négliger la préparation de l’action</w:t>
            </w:r>
          </w:p>
        </w:tc>
      </w:tr>
    </w:tbl>
    <w:p w:rsidR="007234E8" w:rsidRDefault="00881EB2" w:rsidP="003150A9">
      <w:pPr>
        <w:spacing w:before="240" w:after="0" w:line="240" w:lineRule="auto"/>
        <w:rPr>
          <w:rFonts w:asciiTheme="majorHAnsi" w:hAnsiTheme="majorHAnsi" w:cstheme="majorHAnsi"/>
          <w:u w:val="single"/>
        </w:rPr>
      </w:pPr>
      <w:r>
        <w:rPr>
          <w:rFonts w:asciiTheme="majorHAnsi" w:hAnsiTheme="majorHAnsi" w:cstheme="majorHAnsi"/>
          <w:u w:val="single"/>
        </w:rPr>
        <w:t xml:space="preserve">3) </w:t>
      </w:r>
      <w:r w:rsidR="007234E8" w:rsidRPr="007234E8">
        <w:rPr>
          <w:rFonts w:asciiTheme="majorHAnsi" w:hAnsiTheme="majorHAnsi" w:cstheme="majorHAnsi"/>
          <w:u w:val="single"/>
        </w:rPr>
        <w:t xml:space="preserve">Recommandations issues des pratiques des acteurs </w:t>
      </w:r>
    </w:p>
    <w:p w:rsidR="00F839C9" w:rsidRDefault="00F839C9" w:rsidP="003150A9">
      <w:pPr>
        <w:spacing w:before="120" w:after="120" w:line="240" w:lineRule="auto"/>
        <w:rPr>
          <w:rFonts w:asciiTheme="majorHAnsi" w:hAnsiTheme="majorHAnsi" w:cstheme="majorHAnsi"/>
        </w:rPr>
      </w:pPr>
      <w:r>
        <w:rPr>
          <w:rFonts w:asciiTheme="majorHAnsi" w:hAnsiTheme="majorHAnsi" w:cstheme="majorHAnsi"/>
        </w:rPr>
        <w:t>Le partage d’expériences entre acteurs conduit à la formulation des recommandations suivantes, qui contribuent à la réussite de l’action.</w:t>
      </w:r>
    </w:p>
    <w:tbl>
      <w:tblPr>
        <w:tblStyle w:val="Grilledutableau"/>
        <w:tblW w:w="0" w:type="auto"/>
        <w:tblLook w:val="04A0" w:firstRow="1" w:lastRow="0" w:firstColumn="1" w:lastColumn="0" w:noHBand="0" w:noVBand="1"/>
      </w:tblPr>
      <w:tblGrid>
        <w:gridCol w:w="3114"/>
        <w:gridCol w:w="6854"/>
      </w:tblGrid>
      <w:tr w:rsidR="003150A9" w:rsidTr="00535AFD">
        <w:tc>
          <w:tcPr>
            <w:tcW w:w="3114" w:type="dxa"/>
            <w:vMerge w:val="restart"/>
          </w:tcPr>
          <w:p w:rsidR="003150A9" w:rsidRPr="007234E8" w:rsidRDefault="003150A9" w:rsidP="003150A9">
            <w:pPr>
              <w:rPr>
                <w:rFonts w:asciiTheme="majorHAnsi" w:hAnsiTheme="majorHAnsi" w:cstheme="majorHAnsi"/>
              </w:rPr>
            </w:pPr>
            <w:r w:rsidRPr="007234E8">
              <w:rPr>
                <w:rFonts w:asciiTheme="majorHAnsi" w:hAnsiTheme="majorHAnsi" w:cstheme="majorHAnsi"/>
              </w:rPr>
              <w:t>Recommandations relatives aux acteurs de terrain</w:t>
            </w:r>
          </w:p>
        </w:tc>
        <w:tc>
          <w:tcPr>
            <w:tcW w:w="6854" w:type="dxa"/>
          </w:tcPr>
          <w:p w:rsidR="003150A9" w:rsidRPr="007234E8" w:rsidRDefault="003150A9" w:rsidP="003150A9">
            <w:pPr>
              <w:rPr>
                <w:rFonts w:asciiTheme="majorHAnsi" w:hAnsiTheme="majorHAnsi" w:cstheme="majorHAnsi"/>
              </w:rPr>
            </w:pPr>
            <w:r w:rsidRPr="007234E8">
              <w:rPr>
                <w:rFonts w:asciiTheme="majorHAnsi" w:hAnsiTheme="majorHAnsi" w:cstheme="majorHAnsi"/>
              </w:rPr>
              <w:t>Le partenariat local intersectoriel est un point d’appui essentiel aux pratiques de qualité</w:t>
            </w:r>
          </w:p>
        </w:tc>
      </w:tr>
      <w:tr w:rsidR="003150A9" w:rsidTr="00535AFD">
        <w:tc>
          <w:tcPr>
            <w:tcW w:w="3114" w:type="dxa"/>
            <w:vMerge/>
          </w:tcPr>
          <w:p w:rsidR="003150A9" w:rsidRDefault="003150A9" w:rsidP="003150A9">
            <w:pPr>
              <w:spacing w:before="120" w:after="120"/>
              <w:rPr>
                <w:rFonts w:asciiTheme="majorHAnsi" w:hAnsiTheme="majorHAnsi" w:cstheme="majorHAnsi"/>
              </w:rPr>
            </w:pPr>
          </w:p>
        </w:tc>
        <w:tc>
          <w:tcPr>
            <w:tcW w:w="6854" w:type="dxa"/>
          </w:tcPr>
          <w:p w:rsidR="003150A9" w:rsidRDefault="003150A9" w:rsidP="003150A9">
            <w:pPr>
              <w:rPr>
                <w:rFonts w:asciiTheme="majorHAnsi" w:hAnsiTheme="majorHAnsi" w:cstheme="majorHAnsi"/>
              </w:rPr>
            </w:pPr>
            <w:r w:rsidRPr="007234E8">
              <w:rPr>
                <w:rFonts w:asciiTheme="majorHAnsi" w:hAnsiTheme="majorHAnsi" w:cstheme="majorHAnsi"/>
              </w:rPr>
              <w:t xml:space="preserve">Les pratiques des intervenants sont soutenues par des temps d’échanges en commun </w:t>
            </w:r>
          </w:p>
        </w:tc>
      </w:tr>
      <w:tr w:rsidR="003150A9" w:rsidTr="00535AFD">
        <w:tc>
          <w:tcPr>
            <w:tcW w:w="3114" w:type="dxa"/>
            <w:vMerge/>
          </w:tcPr>
          <w:p w:rsidR="003150A9" w:rsidRDefault="003150A9" w:rsidP="003150A9">
            <w:pPr>
              <w:spacing w:before="120" w:after="120"/>
              <w:rPr>
                <w:rFonts w:asciiTheme="majorHAnsi" w:hAnsiTheme="majorHAnsi" w:cstheme="majorHAnsi"/>
              </w:rPr>
            </w:pPr>
          </w:p>
        </w:tc>
        <w:tc>
          <w:tcPr>
            <w:tcW w:w="6854" w:type="dxa"/>
          </w:tcPr>
          <w:p w:rsidR="003150A9" w:rsidRDefault="003150A9" w:rsidP="003150A9">
            <w:pPr>
              <w:rPr>
                <w:rFonts w:asciiTheme="majorHAnsi" w:hAnsiTheme="majorHAnsi" w:cstheme="majorHAnsi"/>
              </w:rPr>
            </w:pPr>
            <w:r w:rsidRPr="007234E8">
              <w:rPr>
                <w:rFonts w:asciiTheme="majorHAnsi" w:hAnsiTheme="majorHAnsi" w:cstheme="majorHAnsi"/>
              </w:rPr>
              <w:t>L’implication des directions des établissements scolaires et enseignants est importante, tout au long du parcours scolaire</w:t>
            </w:r>
          </w:p>
        </w:tc>
      </w:tr>
      <w:tr w:rsidR="003150A9" w:rsidTr="00535AFD">
        <w:tc>
          <w:tcPr>
            <w:tcW w:w="3114" w:type="dxa"/>
            <w:vMerge w:val="restart"/>
          </w:tcPr>
          <w:p w:rsidR="003150A9" w:rsidRPr="007234E8" w:rsidRDefault="003150A9" w:rsidP="003150A9">
            <w:pPr>
              <w:rPr>
                <w:rFonts w:asciiTheme="majorHAnsi" w:hAnsiTheme="majorHAnsi" w:cstheme="majorHAnsi"/>
              </w:rPr>
            </w:pPr>
            <w:r w:rsidRPr="007234E8">
              <w:rPr>
                <w:rFonts w:asciiTheme="majorHAnsi" w:hAnsiTheme="majorHAnsi" w:cstheme="majorHAnsi"/>
              </w:rPr>
              <w:t>Recommandations concernant les modalité</w:t>
            </w:r>
            <w:r>
              <w:rPr>
                <w:rFonts w:asciiTheme="majorHAnsi" w:hAnsiTheme="majorHAnsi" w:cstheme="majorHAnsi"/>
              </w:rPr>
              <w:t>s</w:t>
            </w:r>
            <w:r w:rsidRPr="007234E8">
              <w:rPr>
                <w:rFonts w:asciiTheme="majorHAnsi" w:hAnsiTheme="majorHAnsi" w:cstheme="majorHAnsi"/>
              </w:rPr>
              <w:t xml:space="preserve"> d’intervention</w:t>
            </w:r>
          </w:p>
        </w:tc>
        <w:tc>
          <w:tcPr>
            <w:tcW w:w="6854" w:type="dxa"/>
          </w:tcPr>
          <w:p w:rsidR="003150A9" w:rsidRPr="007234E8" w:rsidRDefault="003150A9" w:rsidP="003150A9">
            <w:pPr>
              <w:rPr>
                <w:rFonts w:asciiTheme="majorHAnsi" w:hAnsiTheme="majorHAnsi" w:cstheme="majorHAnsi"/>
              </w:rPr>
            </w:pPr>
            <w:r w:rsidRPr="007234E8">
              <w:rPr>
                <w:rFonts w:asciiTheme="majorHAnsi" w:hAnsiTheme="majorHAnsi" w:cstheme="majorHAnsi"/>
              </w:rPr>
              <w:t>L’intersectorialité dans les interventions est à encourager, notamment entre éducation alimentaire et éducation à l’environnement et à l’écologie</w:t>
            </w:r>
          </w:p>
        </w:tc>
      </w:tr>
      <w:tr w:rsidR="003150A9" w:rsidTr="00535AFD">
        <w:tc>
          <w:tcPr>
            <w:tcW w:w="3114" w:type="dxa"/>
            <w:vMerge/>
          </w:tcPr>
          <w:p w:rsidR="003150A9" w:rsidRDefault="003150A9" w:rsidP="003150A9">
            <w:pPr>
              <w:rPr>
                <w:rFonts w:asciiTheme="majorHAnsi" w:hAnsiTheme="majorHAnsi" w:cstheme="majorHAnsi"/>
              </w:rPr>
            </w:pPr>
          </w:p>
        </w:tc>
        <w:tc>
          <w:tcPr>
            <w:tcW w:w="6854" w:type="dxa"/>
          </w:tcPr>
          <w:p w:rsidR="003150A9" w:rsidRDefault="003150A9" w:rsidP="003150A9">
            <w:pPr>
              <w:rPr>
                <w:rFonts w:asciiTheme="majorHAnsi" w:hAnsiTheme="majorHAnsi" w:cstheme="majorHAnsi"/>
              </w:rPr>
            </w:pPr>
            <w:r w:rsidRPr="007234E8">
              <w:rPr>
                <w:rFonts w:asciiTheme="majorHAnsi" w:hAnsiTheme="majorHAnsi" w:cstheme="majorHAnsi"/>
              </w:rPr>
              <w:t xml:space="preserve">Les modalités d’intervention s’appuient sur des pratiques combinées et réfléchies </w:t>
            </w:r>
          </w:p>
        </w:tc>
      </w:tr>
      <w:tr w:rsidR="003150A9" w:rsidTr="00535AFD">
        <w:tc>
          <w:tcPr>
            <w:tcW w:w="3114" w:type="dxa"/>
            <w:vMerge/>
          </w:tcPr>
          <w:p w:rsidR="003150A9" w:rsidRDefault="003150A9" w:rsidP="003150A9">
            <w:pPr>
              <w:rPr>
                <w:rFonts w:asciiTheme="majorHAnsi" w:hAnsiTheme="majorHAnsi" w:cstheme="majorHAnsi"/>
              </w:rPr>
            </w:pPr>
          </w:p>
        </w:tc>
        <w:tc>
          <w:tcPr>
            <w:tcW w:w="6854" w:type="dxa"/>
          </w:tcPr>
          <w:p w:rsidR="003150A9" w:rsidRDefault="003150A9" w:rsidP="003150A9">
            <w:pPr>
              <w:rPr>
                <w:rFonts w:asciiTheme="majorHAnsi" w:hAnsiTheme="majorHAnsi" w:cstheme="majorHAnsi"/>
              </w:rPr>
            </w:pPr>
            <w:r w:rsidRPr="007234E8">
              <w:rPr>
                <w:rFonts w:asciiTheme="majorHAnsi" w:hAnsiTheme="majorHAnsi" w:cstheme="majorHAnsi"/>
              </w:rPr>
              <w:t xml:space="preserve">Les postures positives, bienveillantes et adaptées sont nécessaires </w:t>
            </w:r>
          </w:p>
        </w:tc>
      </w:tr>
      <w:tr w:rsidR="003150A9" w:rsidTr="00535AFD">
        <w:tc>
          <w:tcPr>
            <w:tcW w:w="3114" w:type="dxa"/>
            <w:vMerge/>
          </w:tcPr>
          <w:p w:rsidR="003150A9" w:rsidRDefault="003150A9" w:rsidP="003150A9">
            <w:pPr>
              <w:rPr>
                <w:rFonts w:asciiTheme="majorHAnsi" w:hAnsiTheme="majorHAnsi" w:cstheme="majorHAnsi"/>
              </w:rPr>
            </w:pPr>
          </w:p>
        </w:tc>
        <w:tc>
          <w:tcPr>
            <w:tcW w:w="6854" w:type="dxa"/>
          </w:tcPr>
          <w:p w:rsidR="003150A9" w:rsidRDefault="003150A9" w:rsidP="003150A9">
            <w:pPr>
              <w:rPr>
                <w:rFonts w:asciiTheme="majorHAnsi" w:hAnsiTheme="majorHAnsi" w:cstheme="majorHAnsi"/>
              </w:rPr>
            </w:pPr>
            <w:r w:rsidRPr="007234E8">
              <w:rPr>
                <w:rFonts w:asciiTheme="majorHAnsi" w:hAnsiTheme="majorHAnsi" w:cstheme="majorHAnsi"/>
              </w:rPr>
              <w:t xml:space="preserve">Les intervention s tout au long du parcours de vie de l’enfant sont non seulement utiles mais nécessaire </w:t>
            </w:r>
          </w:p>
        </w:tc>
      </w:tr>
      <w:tr w:rsidR="003150A9" w:rsidTr="00535AFD">
        <w:tc>
          <w:tcPr>
            <w:tcW w:w="3114" w:type="dxa"/>
            <w:vMerge/>
          </w:tcPr>
          <w:p w:rsidR="003150A9" w:rsidRDefault="003150A9" w:rsidP="003150A9">
            <w:pPr>
              <w:rPr>
                <w:rFonts w:asciiTheme="majorHAnsi" w:hAnsiTheme="majorHAnsi" w:cstheme="majorHAnsi"/>
              </w:rPr>
            </w:pPr>
          </w:p>
        </w:tc>
        <w:tc>
          <w:tcPr>
            <w:tcW w:w="6854" w:type="dxa"/>
          </w:tcPr>
          <w:p w:rsidR="003150A9" w:rsidRDefault="003150A9" w:rsidP="003150A9">
            <w:pPr>
              <w:rPr>
                <w:rFonts w:asciiTheme="majorHAnsi" w:hAnsiTheme="majorHAnsi" w:cstheme="majorHAnsi"/>
              </w:rPr>
            </w:pPr>
            <w:r w:rsidRPr="007234E8">
              <w:rPr>
                <w:rFonts w:asciiTheme="majorHAnsi" w:hAnsiTheme="majorHAnsi" w:cstheme="majorHAnsi"/>
              </w:rPr>
              <w:t xml:space="preserve">Les moyens financiers appuient la mise en œuvre des interventions </w:t>
            </w:r>
          </w:p>
        </w:tc>
      </w:tr>
      <w:tr w:rsidR="003150A9" w:rsidTr="00535AFD">
        <w:tc>
          <w:tcPr>
            <w:tcW w:w="3114" w:type="dxa"/>
            <w:vMerge/>
          </w:tcPr>
          <w:p w:rsidR="003150A9" w:rsidRDefault="003150A9" w:rsidP="003150A9">
            <w:pPr>
              <w:rPr>
                <w:rFonts w:asciiTheme="majorHAnsi" w:hAnsiTheme="majorHAnsi" w:cstheme="majorHAnsi"/>
              </w:rPr>
            </w:pPr>
          </w:p>
        </w:tc>
        <w:tc>
          <w:tcPr>
            <w:tcW w:w="6854" w:type="dxa"/>
          </w:tcPr>
          <w:p w:rsidR="003150A9" w:rsidRDefault="003150A9" w:rsidP="003150A9">
            <w:pPr>
              <w:rPr>
                <w:rFonts w:asciiTheme="majorHAnsi" w:hAnsiTheme="majorHAnsi" w:cstheme="majorHAnsi"/>
              </w:rPr>
            </w:pPr>
            <w:r w:rsidRPr="007234E8">
              <w:rPr>
                <w:rFonts w:asciiTheme="majorHAnsi" w:hAnsiTheme="majorHAnsi" w:cstheme="majorHAnsi"/>
              </w:rPr>
              <w:t xml:space="preserve">La clarté et la cohérence des messages est fondamentale, tout comme l’est la concordance entre pratiques et recommandations </w:t>
            </w:r>
          </w:p>
        </w:tc>
      </w:tr>
      <w:tr w:rsidR="003150A9" w:rsidTr="00535AFD">
        <w:tc>
          <w:tcPr>
            <w:tcW w:w="3114" w:type="dxa"/>
            <w:vMerge w:val="restart"/>
          </w:tcPr>
          <w:p w:rsidR="003150A9" w:rsidRPr="007234E8" w:rsidRDefault="003150A9" w:rsidP="003150A9">
            <w:pPr>
              <w:rPr>
                <w:rFonts w:asciiTheme="majorHAnsi" w:hAnsiTheme="majorHAnsi" w:cstheme="majorHAnsi"/>
              </w:rPr>
            </w:pPr>
            <w:r w:rsidRPr="007234E8">
              <w:rPr>
                <w:rFonts w:asciiTheme="majorHAnsi" w:hAnsiTheme="majorHAnsi" w:cstheme="majorHAnsi"/>
              </w:rPr>
              <w:t>Recommandations relatives à l’environnement</w:t>
            </w:r>
          </w:p>
        </w:tc>
        <w:tc>
          <w:tcPr>
            <w:tcW w:w="6854" w:type="dxa"/>
          </w:tcPr>
          <w:p w:rsidR="003150A9" w:rsidRPr="007234E8" w:rsidRDefault="003150A9" w:rsidP="003150A9">
            <w:pPr>
              <w:rPr>
                <w:rFonts w:asciiTheme="majorHAnsi" w:hAnsiTheme="majorHAnsi" w:cstheme="majorHAnsi"/>
              </w:rPr>
            </w:pPr>
            <w:r w:rsidRPr="007234E8">
              <w:rPr>
                <w:rFonts w:asciiTheme="majorHAnsi" w:hAnsiTheme="majorHAnsi" w:cstheme="majorHAnsi"/>
              </w:rPr>
              <w:t>L’inscription de l’alimentation équilibrée, saine et durable dans les politiques est un facteur favorable aux mises en œuvre inscrite sur le long terme</w:t>
            </w:r>
          </w:p>
        </w:tc>
      </w:tr>
      <w:tr w:rsidR="003150A9" w:rsidTr="00535AFD">
        <w:tc>
          <w:tcPr>
            <w:tcW w:w="3114" w:type="dxa"/>
            <w:vMerge/>
          </w:tcPr>
          <w:p w:rsidR="003150A9" w:rsidRDefault="003150A9" w:rsidP="003150A9">
            <w:pPr>
              <w:rPr>
                <w:rFonts w:asciiTheme="majorHAnsi" w:hAnsiTheme="majorHAnsi" w:cstheme="majorHAnsi"/>
              </w:rPr>
            </w:pPr>
          </w:p>
        </w:tc>
        <w:tc>
          <w:tcPr>
            <w:tcW w:w="6854" w:type="dxa"/>
          </w:tcPr>
          <w:p w:rsidR="003150A9" w:rsidRPr="007234E8" w:rsidRDefault="003150A9" w:rsidP="003150A9">
            <w:pPr>
              <w:rPr>
                <w:rFonts w:asciiTheme="majorHAnsi" w:hAnsiTheme="majorHAnsi" w:cstheme="majorHAnsi"/>
              </w:rPr>
            </w:pPr>
            <w:r w:rsidRPr="007234E8">
              <w:rPr>
                <w:rFonts w:asciiTheme="majorHAnsi" w:hAnsiTheme="majorHAnsi" w:cstheme="majorHAnsi"/>
              </w:rPr>
              <w:t>Les actions sur l’environnement du repas et l’aménagement de l’espace de restauration sont des leviers à saisir</w:t>
            </w:r>
          </w:p>
        </w:tc>
      </w:tr>
      <w:tr w:rsidR="003150A9" w:rsidTr="00535AFD">
        <w:tc>
          <w:tcPr>
            <w:tcW w:w="3114" w:type="dxa"/>
            <w:vMerge/>
          </w:tcPr>
          <w:p w:rsidR="003150A9" w:rsidRDefault="003150A9" w:rsidP="003150A9">
            <w:pPr>
              <w:rPr>
                <w:rFonts w:asciiTheme="majorHAnsi" w:hAnsiTheme="majorHAnsi" w:cstheme="majorHAnsi"/>
              </w:rPr>
            </w:pPr>
          </w:p>
        </w:tc>
        <w:tc>
          <w:tcPr>
            <w:tcW w:w="6854" w:type="dxa"/>
          </w:tcPr>
          <w:p w:rsidR="003150A9" w:rsidRPr="007234E8" w:rsidRDefault="003150A9" w:rsidP="003150A9">
            <w:pPr>
              <w:rPr>
                <w:rFonts w:asciiTheme="majorHAnsi" w:hAnsiTheme="majorHAnsi" w:cstheme="majorHAnsi"/>
              </w:rPr>
            </w:pPr>
            <w:r w:rsidRPr="007234E8">
              <w:rPr>
                <w:rFonts w:asciiTheme="majorHAnsi" w:hAnsiTheme="majorHAnsi" w:cstheme="majorHAnsi"/>
              </w:rPr>
              <w:t>Les obligations relatives à l’équilibre nutritionnel des repas en restauration collective sont des opportunités pour renforcer l’alimentation équilibrée saine et durable</w:t>
            </w:r>
          </w:p>
        </w:tc>
      </w:tr>
      <w:tr w:rsidR="003150A9" w:rsidTr="00535AFD">
        <w:tc>
          <w:tcPr>
            <w:tcW w:w="3114" w:type="dxa"/>
          </w:tcPr>
          <w:p w:rsidR="003150A9" w:rsidRPr="007234E8" w:rsidRDefault="003150A9" w:rsidP="003150A9">
            <w:pPr>
              <w:rPr>
                <w:rFonts w:asciiTheme="majorHAnsi" w:hAnsiTheme="majorHAnsi" w:cstheme="majorHAnsi"/>
              </w:rPr>
            </w:pPr>
            <w:r w:rsidRPr="007234E8">
              <w:rPr>
                <w:rFonts w:asciiTheme="majorHAnsi" w:hAnsiTheme="majorHAnsi" w:cstheme="majorHAnsi"/>
              </w:rPr>
              <w:t>Recommandations relatives aux parents</w:t>
            </w:r>
          </w:p>
        </w:tc>
        <w:tc>
          <w:tcPr>
            <w:tcW w:w="6854" w:type="dxa"/>
          </w:tcPr>
          <w:p w:rsidR="003150A9" w:rsidRPr="007234E8" w:rsidRDefault="003150A9" w:rsidP="003150A9">
            <w:pPr>
              <w:rPr>
                <w:rFonts w:asciiTheme="majorHAnsi" w:hAnsiTheme="majorHAnsi" w:cstheme="majorHAnsi"/>
              </w:rPr>
            </w:pPr>
            <w:r w:rsidRPr="007234E8">
              <w:rPr>
                <w:rFonts w:asciiTheme="majorHAnsi" w:hAnsiTheme="majorHAnsi" w:cstheme="majorHAnsi"/>
              </w:rPr>
              <w:t xml:space="preserve">L’alimentation est une thématique de santé concernant les enfants (dès le plus âge) et les adolescents </w:t>
            </w:r>
          </w:p>
        </w:tc>
      </w:tr>
    </w:tbl>
    <w:p w:rsidR="003150A9" w:rsidRPr="007234E8" w:rsidRDefault="003150A9" w:rsidP="003150A9">
      <w:pPr>
        <w:spacing w:before="120" w:after="120" w:line="240" w:lineRule="auto"/>
        <w:rPr>
          <w:rFonts w:asciiTheme="majorHAnsi" w:hAnsiTheme="majorHAnsi" w:cstheme="majorHAnsi"/>
        </w:rPr>
      </w:pPr>
    </w:p>
    <w:p w:rsidR="007234E8" w:rsidRPr="007234E8" w:rsidRDefault="007234E8" w:rsidP="007234E8">
      <w:pPr>
        <w:rPr>
          <w:rFonts w:asciiTheme="majorHAnsi" w:hAnsiTheme="majorHAnsi" w:cstheme="majorHAnsi"/>
          <w:u w:val="single"/>
        </w:rPr>
      </w:pPr>
    </w:p>
    <w:p w:rsidR="007234E8" w:rsidRPr="003A1580" w:rsidRDefault="00F839C9" w:rsidP="003A1580">
      <w:pPr>
        <w:spacing w:before="120" w:after="0" w:line="240" w:lineRule="auto"/>
        <w:jc w:val="center"/>
        <w:rPr>
          <w:rFonts w:asciiTheme="majorHAnsi" w:hAnsiTheme="majorHAnsi" w:cstheme="majorHAnsi"/>
          <w:b/>
          <w:sz w:val="24"/>
          <w:szCs w:val="24"/>
          <w:u w:val="single"/>
        </w:rPr>
      </w:pPr>
      <w:r w:rsidRPr="003A1580">
        <w:rPr>
          <w:rFonts w:asciiTheme="majorHAnsi" w:hAnsiTheme="majorHAnsi" w:cstheme="majorHAnsi"/>
          <w:b/>
          <w:sz w:val="24"/>
          <w:szCs w:val="24"/>
          <w:u w:val="single"/>
        </w:rPr>
        <w:t>Annexe 2</w:t>
      </w:r>
      <w:r w:rsidR="007234E8" w:rsidRPr="003A1580">
        <w:rPr>
          <w:rFonts w:asciiTheme="majorHAnsi" w:hAnsiTheme="majorHAnsi" w:cstheme="majorHAnsi"/>
          <w:b/>
          <w:sz w:val="24"/>
          <w:szCs w:val="24"/>
          <w:u w:val="single"/>
        </w:rPr>
        <w:t> : Actions et outils identifiés comme pertinents par l’ARS Bretagne</w:t>
      </w:r>
    </w:p>
    <w:p w:rsidR="00FB6E53" w:rsidRDefault="00FB6E53" w:rsidP="00FB6E53">
      <w:pPr>
        <w:spacing w:after="0" w:line="240" w:lineRule="auto"/>
        <w:rPr>
          <w:rFonts w:asciiTheme="majorHAnsi" w:hAnsiTheme="majorHAnsi" w:cstheme="majorHAnsi"/>
          <w:b/>
          <w:u w:val="single"/>
        </w:rPr>
      </w:pPr>
    </w:p>
    <w:tbl>
      <w:tblPr>
        <w:tblStyle w:val="Grilledutableau"/>
        <w:tblW w:w="0" w:type="auto"/>
        <w:tblLook w:val="04A0" w:firstRow="1" w:lastRow="0" w:firstColumn="1" w:lastColumn="0" w:noHBand="0" w:noVBand="1"/>
      </w:tblPr>
      <w:tblGrid>
        <w:gridCol w:w="2547"/>
        <w:gridCol w:w="4311"/>
        <w:gridCol w:w="3110"/>
      </w:tblGrid>
      <w:tr w:rsidR="00535AFD" w:rsidTr="00111B7D">
        <w:tc>
          <w:tcPr>
            <w:tcW w:w="2547" w:type="dxa"/>
            <w:shd w:val="clear" w:color="auto" w:fill="DEEAF6" w:themeFill="accent1" w:themeFillTint="33"/>
          </w:tcPr>
          <w:p w:rsidR="00535AFD" w:rsidRPr="00535AFD" w:rsidRDefault="00535AFD" w:rsidP="00535AFD">
            <w:pPr>
              <w:jc w:val="center"/>
              <w:rPr>
                <w:rFonts w:asciiTheme="majorHAnsi" w:hAnsiTheme="majorHAnsi" w:cstheme="majorHAnsi"/>
                <w:b/>
              </w:rPr>
            </w:pPr>
            <w:r w:rsidRPr="00535AFD">
              <w:rPr>
                <w:rFonts w:asciiTheme="majorHAnsi" w:hAnsiTheme="majorHAnsi" w:cstheme="majorHAnsi"/>
                <w:b/>
              </w:rPr>
              <w:t>Actions/Outils</w:t>
            </w:r>
          </w:p>
        </w:tc>
        <w:tc>
          <w:tcPr>
            <w:tcW w:w="4311" w:type="dxa"/>
            <w:shd w:val="clear" w:color="auto" w:fill="DEEAF6" w:themeFill="accent1" w:themeFillTint="33"/>
          </w:tcPr>
          <w:p w:rsidR="00535AFD" w:rsidRPr="00535AFD" w:rsidRDefault="00535AFD" w:rsidP="00535AFD">
            <w:pPr>
              <w:jc w:val="center"/>
              <w:rPr>
                <w:rFonts w:asciiTheme="majorHAnsi" w:hAnsiTheme="majorHAnsi" w:cstheme="majorHAnsi"/>
                <w:b/>
              </w:rPr>
            </w:pPr>
            <w:r w:rsidRPr="00535AFD">
              <w:rPr>
                <w:rFonts w:asciiTheme="majorHAnsi" w:hAnsiTheme="majorHAnsi" w:cstheme="majorHAnsi"/>
                <w:b/>
              </w:rPr>
              <w:t>Descriptif</w:t>
            </w:r>
          </w:p>
        </w:tc>
        <w:tc>
          <w:tcPr>
            <w:tcW w:w="3110" w:type="dxa"/>
            <w:shd w:val="clear" w:color="auto" w:fill="DEEAF6" w:themeFill="accent1" w:themeFillTint="33"/>
          </w:tcPr>
          <w:p w:rsidR="00535AFD" w:rsidRPr="00535AFD" w:rsidRDefault="00535AFD" w:rsidP="00535AFD">
            <w:pPr>
              <w:jc w:val="center"/>
              <w:rPr>
                <w:rFonts w:asciiTheme="majorHAnsi" w:hAnsiTheme="majorHAnsi" w:cstheme="majorHAnsi"/>
                <w:b/>
              </w:rPr>
            </w:pPr>
            <w:r w:rsidRPr="00535AFD">
              <w:rPr>
                <w:rFonts w:asciiTheme="majorHAnsi" w:hAnsiTheme="majorHAnsi" w:cstheme="majorHAnsi"/>
                <w:b/>
              </w:rPr>
              <w:t>Informations pratiques</w:t>
            </w:r>
          </w:p>
        </w:tc>
      </w:tr>
      <w:tr w:rsidR="00535AFD" w:rsidTr="00111B7D">
        <w:tc>
          <w:tcPr>
            <w:tcW w:w="2547" w:type="dxa"/>
            <w:vAlign w:val="center"/>
          </w:tcPr>
          <w:p w:rsidR="00535AFD" w:rsidRPr="007234E8" w:rsidRDefault="00535AFD" w:rsidP="00535AFD">
            <w:pPr>
              <w:jc w:val="both"/>
              <w:rPr>
                <w:rFonts w:asciiTheme="majorHAnsi" w:hAnsiTheme="majorHAnsi" w:cstheme="majorHAnsi"/>
                <w:b/>
              </w:rPr>
            </w:pPr>
            <w:r w:rsidRPr="007234E8">
              <w:rPr>
                <w:rFonts w:asciiTheme="majorHAnsi" w:hAnsiTheme="majorHAnsi" w:cstheme="majorHAnsi"/>
                <w:b/>
              </w:rPr>
              <w:t>Action/Outil</w:t>
            </w:r>
          </w:p>
          <w:p w:rsidR="00535AFD" w:rsidRPr="007234E8" w:rsidRDefault="00535AFD" w:rsidP="00111B7D">
            <w:pPr>
              <w:rPr>
                <w:rFonts w:asciiTheme="majorHAnsi" w:hAnsiTheme="majorHAnsi" w:cstheme="majorHAnsi"/>
              </w:rPr>
            </w:pPr>
            <w:r w:rsidRPr="007234E8">
              <w:rPr>
                <w:rFonts w:asciiTheme="majorHAnsi" w:hAnsiTheme="majorHAnsi" w:cstheme="majorHAnsi"/>
              </w:rPr>
              <w:t xml:space="preserve">Escape game – « Nutrigame » </w:t>
            </w:r>
          </w:p>
          <w:p w:rsidR="00535AFD" w:rsidRPr="007234E8" w:rsidRDefault="00535AFD" w:rsidP="00111B7D">
            <w:pPr>
              <w:rPr>
                <w:rFonts w:asciiTheme="majorHAnsi" w:hAnsiTheme="majorHAnsi" w:cstheme="majorHAnsi"/>
                <w:i/>
              </w:rPr>
            </w:pPr>
            <w:r w:rsidRPr="007234E8">
              <w:rPr>
                <w:rFonts w:asciiTheme="majorHAnsi" w:hAnsiTheme="majorHAnsi" w:cstheme="majorHAnsi"/>
                <w:i/>
              </w:rPr>
              <w:t>Cnam-ISTNA</w:t>
            </w:r>
          </w:p>
          <w:p w:rsidR="00535AFD" w:rsidRPr="007234E8" w:rsidRDefault="00535AFD" w:rsidP="00535AFD">
            <w:pPr>
              <w:jc w:val="both"/>
              <w:rPr>
                <w:rFonts w:asciiTheme="majorHAnsi" w:hAnsiTheme="majorHAnsi" w:cstheme="majorHAnsi"/>
                <w:i/>
              </w:rPr>
            </w:pPr>
          </w:p>
          <w:p w:rsidR="00535AFD" w:rsidRPr="007234E8" w:rsidRDefault="00535AFD" w:rsidP="00535AFD">
            <w:pPr>
              <w:jc w:val="both"/>
              <w:rPr>
                <w:rFonts w:asciiTheme="majorHAnsi" w:hAnsiTheme="majorHAnsi" w:cstheme="majorHAnsi"/>
                <w:i/>
              </w:rPr>
            </w:pPr>
            <w:r w:rsidRPr="007234E8">
              <w:rPr>
                <w:rFonts w:asciiTheme="majorHAnsi" w:hAnsiTheme="majorHAnsi" w:cstheme="majorHAnsi"/>
                <w:i/>
                <w:noProof/>
              </w:rPr>
              <w:lastRenderedPageBreak/>
              <w:drawing>
                <wp:anchor distT="0" distB="0" distL="114300" distR="114300" simplePos="0" relativeHeight="251685888" behindDoc="0" locked="0" layoutInCell="1" allowOverlap="1" wp14:anchorId="2E845498" wp14:editId="25AE0D15">
                  <wp:simplePos x="0" y="0"/>
                  <wp:positionH relativeFrom="column">
                    <wp:posOffset>96292</wp:posOffset>
                  </wp:positionH>
                  <wp:positionV relativeFrom="paragraph">
                    <wp:posOffset>7315</wp:posOffset>
                  </wp:positionV>
                  <wp:extent cx="1210505" cy="826618"/>
                  <wp:effectExtent l="0" t="0" r="8890" b="0"/>
                  <wp:wrapSquare wrapText="bothSides"/>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u-Escape-Nutrigam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0505" cy="826618"/>
                          </a:xfrm>
                          <a:prstGeom prst="rect">
                            <a:avLst/>
                          </a:prstGeom>
                        </pic:spPr>
                      </pic:pic>
                    </a:graphicData>
                  </a:graphic>
                </wp:anchor>
              </w:drawing>
            </w:r>
          </w:p>
        </w:tc>
        <w:tc>
          <w:tcPr>
            <w:tcW w:w="4311" w:type="dxa"/>
            <w:vAlign w:val="center"/>
          </w:tcPr>
          <w:p w:rsidR="00535AFD" w:rsidRPr="007234E8" w:rsidRDefault="00535AFD" w:rsidP="00535AFD">
            <w:pPr>
              <w:jc w:val="both"/>
              <w:rPr>
                <w:rFonts w:asciiTheme="majorHAnsi" w:hAnsiTheme="majorHAnsi" w:cstheme="majorHAnsi"/>
              </w:rPr>
            </w:pPr>
            <w:r w:rsidRPr="007234E8">
              <w:rPr>
                <w:rFonts w:asciiTheme="majorHAnsi" w:hAnsiTheme="majorHAnsi" w:cstheme="majorHAnsi"/>
              </w:rPr>
              <w:lastRenderedPageBreak/>
              <w:t xml:space="preserve">Ce jeu immersif, d’aventure et d’équipe permet aux jeunes de mieux saisir les enjeux de l’alimentation et de l’activité physique pour leur santé. Les objectifs de ce jeu sont de favoriser le bien être, les sensibiliser aux </w:t>
            </w:r>
            <w:r w:rsidRPr="007234E8">
              <w:rPr>
                <w:rFonts w:asciiTheme="majorHAnsi" w:hAnsiTheme="majorHAnsi" w:cstheme="majorHAnsi"/>
              </w:rPr>
              <w:lastRenderedPageBreak/>
              <w:t>comportements favorables pour la santé en alimentation et activité physique pour la santé et contribuer aux renforcements des compétences psychosociales.</w:t>
            </w:r>
          </w:p>
        </w:tc>
        <w:tc>
          <w:tcPr>
            <w:tcW w:w="3110" w:type="dxa"/>
            <w:vAlign w:val="center"/>
          </w:tcPr>
          <w:p w:rsidR="00535AFD" w:rsidRPr="007234E8" w:rsidRDefault="00535AFD" w:rsidP="00535AFD">
            <w:pPr>
              <w:jc w:val="both"/>
              <w:rPr>
                <w:rFonts w:asciiTheme="majorHAnsi" w:hAnsiTheme="majorHAnsi" w:cstheme="majorHAnsi"/>
              </w:rPr>
            </w:pPr>
            <w:r w:rsidRPr="007234E8">
              <w:rPr>
                <w:rFonts w:asciiTheme="majorHAnsi" w:hAnsiTheme="majorHAnsi" w:cstheme="majorHAnsi"/>
              </w:rPr>
              <w:lastRenderedPageBreak/>
              <w:t>Coût de la boîte : 245 €</w:t>
            </w:r>
          </w:p>
          <w:p w:rsidR="00535AFD" w:rsidRPr="007234E8" w:rsidRDefault="00535AFD" w:rsidP="00535AFD">
            <w:pPr>
              <w:spacing w:before="120"/>
              <w:jc w:val="both"/>
              <w:rPr>
                <w:rFonts w:asciiTheme="majorHAnsi" w:hAnsiTheme="majorHAnsi" w:cstheme="majorHAnsi"/>
              </w:rPr>
            </w:pPr>
            <w:r w:rsidRPr="007234E8">
              <w:rPr>
                <w:rFonts w:asciiTheme="majorHAnsi" w:hAnsiTheme="majorHAnsi" w:cstheme="majorHAnsi"/>
              </w:rPr>
              <w:t xml:space="preserve">Contenu de la formation : connaissances de base en nutrition, posture animation en </w:t>
            </w:r>
            <w:r w:rsidRPr="007234E8">
              <w:rPr>
                <w:rFonts w:asciiTheme="majorHAnsi" w:hAnsiTheme="majorHAnsi" w:cstheme="majorHAnsi"/>
              </w:rPr>
              <w:lastRenderedPageBreak/>
              <w:t xml:space="preserve">prévention de la santé, game master, animation du jeu/mise en pratique, explication protocole d’évaluation. </w:t>
            </w:r>
          </w:p>
          <w:p w:rsidR="00535AFD" w:rsidRDefault="00535AFD" w:rsidP="00535AFD">
            <w:pPr>
              <w:spacing w:before="120"/>
              <w:jc w:val="both"/>
              <w:rPr>
                <w:rFonts w:asciiTheme="majorHAnsi" w:hAnsiTheme="majorHAnsi" w:cstheme="majorHAnsi"/>
              </w:rPr>
            </w:pPr>
            <w:r w:rsidRPr="007234E8">
              <w:rPr>
                <w:rFonts w:asciiTheme="majorHAnsi" w:hAnsiTheme="majorHAnsi" w:cstheme="majorHAnsi"/>
              </w:rPr>
              <w:t>Durée : 2 jours</w:t>
            </w:r>
          </w:p>
          <w:p w:rsidR="00535AFD" w:rsidRPr="007234E8" w:rsidRDefault="00535AFD" w:rsidP="00535AFD">
            <w:pPr>
              <w:spacing w:before="120" w:after="60"/>
              <w:jc w:val="both"/>
              <w:rPr>
                <w:rFonts w:asciiTheme="majorHAnsi" w:hAnsiTheme="majorHAnsi" w:cstheme="majorHAnsi"/>
              </w:rPr>
            </w:pPr>
            <w:r w:rsidRPr="007234E8">
              <w:rPr>
                <w:rFonts w:asciiTheme="majorHAnsi" w:hAnsiTheme="majorHAnsi" w:cstheme="majorHAnsi"/>
              </w:rPr>
              <w:t>L’ARS Bretagne peut organiser une session de formation à l’utilisation de l’outil (si le n</w:t>
            </w:r>
            <w:r>
              <w:rPr>
                <w:rFonts w:asciiTheme="majorHAnsi" w:hAnsiTheme="majorHAnsi" w:cstheme="majorHAnsi"/>
              </w:rPr>
              <w:t>om</w:t>
            </w:r>
            <w:r w:rsidRPr="007234E8">
              <w:rPr>
                <w:rFonts w:asciiTheme="majorHAnsi" w:hAnsiTheme="majorHAnsi" w:cstheme="majorHAnsi"/>
              </w:rPr>
              <w:t>bre de participant suffisant).</w:t>
            </w:r>
          </w:p>
        </w:tc>
      </w:tr>
      <w:tr w:rsidR="00535AFD" w:rsidTr="00111B7D">
        <w:tc>
          <w:tcPr>
            <w:tcW w:w="2547" w:type="dxa"/>
            <w:vAlign w:val="center"/>
          </w:tcPr>
          <w:p w:rsidR="00535AFD" w:rsidRDefault="00535AFD" w:rsidP="00535AFD">
            <w:pPr>
              <w:rPr>
                <w:rFonts w:asciiTheme="majorHAnsi" w:hAnsiTheme="majorHAnsi" w:cstheme="majorHAnsi"/>
                <w:b/>
              </w:rPr>
            </w:pPr>
            <w:r>
              <w:rPr>
                <w:rFonts w:asciiTheme="majorHAnsi" w:hAnsiTheme="majorHAnsi" w:cstheme="majorHAnsi"/>
                <w:b/>
              </w:rPr>
              <w:lastRenderedPageBreak/>
              <w:t>Outil</w:t>
            </w:r>
          </w:p>
          <w:p w:rsidR="00535AFD" w:rsidRDefault="00535AFD" w:rsidP="00535AFD">
            <w:pPr>
              <w:rPr>
                <w:rFonts w:asciiTheme="majorHAnsi" w:hAnsiTheme="majorHAnsi" w:cstheme="majorHAnsi"/>
              </w:rPr>
            </w:pPr>
            <w:r w:rsidRPr="00AE7A9A">
              <w:rPr>
                <w:rFonts w:asciiTheme="majorHAnsi" w:hAnsiTheme="majorHAnsi" w:cstheme="majorHAnsi"/>
              </w:rPr>
              <w:t>Kit pédagogique – « Légumicant »</w:t>
            </w:r>
            <w:r>
              <w:rPr>
                <w:rFonts w:asciiTheme="majorHAnsi" w:hAnsiTheme="majorHAnsi" w:cstheme="majorHAnsi"/>
              </w:rPr>
              <w:t xml:space="preserve"> DRAAF Occitanie</w:t>
            </w:r>
          </w:p>
          <w:p w:rsidR="00535AFD" w:rsidRDefault="00535AFD" w:rsidP="00535AFD">
            <w:pPr>
              <w:rPr>
                <w:rFonts w:asciiTheme="majorHAnsi" w:hAnsiTheme="majorHAnsi" w:cstheme="majorHAnsi"/>
                <w:b/>
              </w:rPr>
            </w:pPr>
            <w:r>
              <w:rPr>
                <w:rFonts w:asciiTheme="majorHAnsi" w:hAnsiTheme="majorHAnsi" w:cstheme="majorHAnsi"/>
                <w:b/>
                <w:noProof/>
              </w:rPr>
              <w:drawing>
                <wp:inline distT="0" distB="0" distL="0" distR="0" wp14:anchorId="4C9FEC3C" wp14:editId="2E36A2B3">
                  <wp:extent cx="1009497" cy="846214"/>
                  <wp:effectExtent l="0" t="0" r="63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ubon59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0563" cy="855490"/>
                          </a:xfrm>
                          <a:prstGeom prst="rect">
                            <a:avLst/>
                          </a:prstGeom>
                        </pic:spPr>
                      </pic:pic>
                    </a:graphicData>
                  </a:graphic>
                </wp:inline>
              </w:drawing>
            </w:r>
          </w:p>
          <w:p w:rsidR="00535AFD" w:rsidRPr="007234E8" w:rsidRDefault="00535AFD" w:rsidP="00535AFD">
            <w:pPr>
              <w:rPr>
                <w:rFonts w:asciiTheme="majorHAnsi" w:hAnsiTheme="majorHAnsi" w:cstheme="majorHAnsi"/>
                <w:b/>
              </w:rPr>
            </w:pPr>
          </w:p>
        </w:tc>
        <w:tc>
          <w:tcPr>
            <w:tcW w:w="4311" w:type="dxa"/>
            <w:vAlign w:val="center"/>
          </w:tcPr>
          <w:p w:rsidR="00535AFD" w:rsidRPr="00535AFD" w:rsidRDefault="00535AFD" w:rsidP="00111B7D">
            <w:pPr>
              <w:spacing w:before="120" w:after="120"/>
              <w:jc w:val="both"/>
              <w:rPr>
                <w:rFonts w:asciiTheme="majorHAnsi" w:hAnsiTheme="majorHAnsi" w:cstheme="majorHAnsi"/>
                <w:szCs w:val="20"/>
              </w:rPr>
            </w:pPr>
            <w:r w:rsidRPr="00AE7A9A">
              <w:rPr>
                <w:rFonts w:asciiTheme="majorHAnsi" w:hAnsiTheme="majorHAnsi" w:cstheme="majorHAnsi"/>
                <w:szCs w:val="20"/>
              </w:rPr>
              <w:t>Kit pédagogique permettant de créer un parcours ludo-pédagogique pour valoriser les légumineuses au sein de l’établissement et plus particulièrement aux menus de la cantine scolaire (livres de recettes, fiches techniques pour la restauration collective, etc.). Cette boîte à outils ludo-pédagogique s’adresse aux lycées agricoles : élèves, équipes pédagogiques, personnels administratifs et techniques.</w:t>
            </w:r>
          </w:p>
        </w:tc>
        <w:tc>
          <w:tcPr>
            <w:tcW w:w="3110" w:type="dxa"/>
            <w:vAlign w:val="center"/>
          </w:tcPr>
          <w:p w:rsidR="00535AFD" w:rsidRPr="007234E8" w:rsidRDefault="00535AFD" w:rsidP="00535AFD">
            <w:pPr>
              <w:rPr>
                <w:rFonts w:asciiTheme="majorHAnsi" w:hAnsiTheme="majorHAnsi" w:cstheme="majorHAnsi"/>
              </w:rPr>
            </w:pPr>
            <w:r>
              <w:rPr>
                <w:rFonts w:asciiTheme="majorHAnsi" w:hAnsiTheme="majorHAnsi" w:cstheme="majorHAnsi"/>
              </w:rPr>
              <w:t>Coût de la boîte : 420 €</w:t>
            </w:r>
          </w:p>
        </w:tc>
      </w:tr>
      <w:tr w:rsidR="00535AFD" w:rsidTr="00111B7D">
        <w:tc>
          <w:tcPr>
            <w:tcW w:w="2547" w:type="dxa"/>
            <w:vAlign w:val="center"/>
          </w:tcPr>
          <w:p w:rsidR="00535AFD" w:rsidRPr="007234E8" w:rsidRDefault="00535AFD" w:rsidP="00535AFD">
            <w:pPr>
              <w:rPr>
                <w:rFonts w:asciiTheme="majorHAnsi" w:hAnsiTheme="majorHAnsi" w:cstheme="majorHAnsi"/>
                <w:b/>
              </w:rPr>
            </w:pPr>
            <w:r w:rsidRPr="007234E8">
              <w:rPr>
                <w:rFonts w:asciiTheme="majorHAnsi" w:hAnsiTheme="majorHAnsi" w:cstheme="majorHAnsi"/>
                <w:b/>
              </w:rPr>
              <w:t>Outil</w:t>
            </w:r>
          </w:p>
          <w:p w:rsidR="00535AFD" w:rsidRPr="007234E8" w:rsidRDefault="00535AFD" w:rsidP="00535AFD">
            <w:pPr>
              <w:rPr>
                <w:rFonts w:asciiTheme="majorHAnsi" w:hAnsiTheme="majorHAnsi" w:cstheme="majorHAnsi"/>
              </w:rPr>
            </w:pPr>
            <w:r w:rsidRPr="007234E8">
              <w:rPr>
                <w:rFonts w:asciiTheme="majorHAnsi" w:hAnsiTheme="majorHAnsi" w:cstheme="majorHAnsi"/>
              </w:rPr>
              <w:t xml:space="preserve">Site internet – « En 2-2 » </w:t>
            </w:r>
          </w:p>
          <w:p w:rsidR="00535AFD" w:rsidRPr="007234E8" w:rsidRDefault="00535AFD" w:rsidP="00535AFD">
            <w:pPr>
              <w:rPr>
                <w:rFonts w:asciiTheme="majorHAnsi" w:hAnsiTheme="majorHAnsi" w:cstheme="majorHAnsi"/>
                <w:i/>
              </w:rPr>
            </w:pPr>
            <w:r w:rsidRPr="007234E8">
              <w:rPr>
                <w:rFonts w:asciiTheme="majorHAnsi" w:hAnsiTheme="majorHAnsi" w:cstheme="majorHAnsi"/>
                <w:i/>
              </w:rPr>
              <w:t>Santé Publique France</w:t>
            </w:r>
          </w:p>
          <w:p w:rsidR="00535AFD" w:rsidRPr="007234E8" w:rsidRDefault="00535AFD" w:rsidP="00535AFD">
            <w:pPr>
              <w:rPr>
                <w:rFonts w:asciiTheme="majorHAnsi" w:hAnsiTheme="majorHAnsi" w:cstheme="majorHAnsi"/>
                <w:i/>
              </w:rPr>
            </w:pPr>
          </w:p>
          <w:p w:rsidR="00535AFD" w:rsidRPr="007234E8" w:rsidRDefault="00535AFD" w:rsidP="00535AFD">
            <w:pPr>
              <w:rPr>
                <w:rFonts w:asciiTheme="majorHAnsi" w:hAnsiTheme="majorHAnsi" w:cstheme="majorHAnsi"/>
                <w:i/>
              </w:rPr>
            </w:pPr>
            <w:r w:rsidRPr="007234E8">
              <w:rPr>
                <w:rFonts w:asciiTheme="majorHAnsi" w:hAnsiTheme="majorHAnsi" w:cstheme="majorHAnsi"/>
                <w:i/>
                <w:noProof/>
              </w:rPr>
              <w:drawing>
                <wp:inline distT="0" distB="0" distL="0" distR="0" wp14:anchorId="64C1DB81" wp14:editId="7C0ED48D">
                  <wp:extent cx="1362208" cy="709575"/>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2 2 .jfif"/>
                          <pic:cNvPicPr/>
                        </pic:nvPicPr>
                        <pic:blipFill>
                          <a:blip r:embed="rId12">
                            <a:extLst>
                              <a:ext uri="{28A0092B-C50C-407E-A947-70E740481C1C}">
                                <a14:useLocalDpi xmlns:a14="http://schemas.microsoft.com/office/drawing/2010/main" val="0"/>
                              </a:ext>
                            </a:extLst>
                          </a:blip>
                          <a:stretch>
                            <a:fillRect/>
                          </a:stretch>
                        </pic:blipFill>
                        <pic:spPr>
                          <a:xfrm>
                            <a:off x="0" y="0"/>
                            <a:ext cx="1399452" cy="728976"/>
                          </a:xfrm>
                          <a:prstGeom prst="rect">
                            <a:avLst/>
                          </a:prstGeom>
                        </pic:spPr>
                      </pic:pic>
                    </a:graphicData>
                  </a:graphic>
                </wp:inline>
              </w:drawing>
            </w:r>
          </w:p>
        </w:tc>
        <w:tc>
          <w:tcPr>
            <w:tcW w:w="4311" w:type="dxa"/>
            <w:vAlign w:val="center"/>
          </w:tcPr>
          <w:p w:rsidR="00535AFD" w:rsidRPr="007234E8" w:rsidRDefault="00535AFD" w:rsidP="00111B7D">
            <w:pPr>
              <w:jc w:val="both"/>
              <w:rPr>
                <w:rFonts w:asciiTheme="majorHAnsi" w:hAnsiTheme="majorHAnsi" w:cstheme="majorHAnsi"/>
              </w:rPr>
            </w:pPr>
            <w:r w:rsidRPr="007234E8">
              <w:rPr>
                <w:rFonts w:asciiTheme="majorHAnsi" w:hAnsiTheme="majorHAnsi" w:cstheme="majorHAnsi"/>
              </w:rPr>
              <w:t>Cette campagne illustre « bien manger avec un petit budget, quand on manque de temps, de compétences et de matériel, c’est possible ». Six recettes gourmandes et saines faciles à réaliser sont diffusées. L’objectif de cet outil est de donner les clés aux jeunes pour améliorer leur alimentation avec peu de temps et d’argent. Leur donner envie de préparer des repas sains, rapides à moindre coût en valorisant l’image du mieux manger sans renoncer au plaisir et sans les culpabiliser. Chaque recette se fait de manière très simple et rapide. Chaque recette est expliquée précisément.</w:t>
            </w:r>
          </w:p>
        </w:tc>
        <w:tc>
          <w:tcPr>
            <w:tcW w:w="3110" w:type="dxa"/>
            <w:vAlign w:val="center"/>
          </w:tcPr>
          <w:p w:rsidR="00535AFD" w:rsidRPr="007234E8" w:rsidRDefault="00535AFD" w:rsidP="00535AFD">
            <w:pPr>
              <w:rPr>
                <w:rFonts w:asciiTheme="majorHAnsi" w:hAnsiTheme="majorHAnsi" w:cstheme="majorHAnsi"/>
              </w:rPr>
            </w:pPr>
            <w:r w:rsidRPr="007234E8">
              <w:rPr>
                <w:rFonts w:asciiTheme="majorHAnsi" w:hAnsiTheme="majorHAnsi" w:cstheme="majorHAnsi"/>
              </w:rPr>
              <w:t xml:space="preserve">Librement accessible sur le site : </w:t>
            </w:r>
            <w:hyperlink r:id="rId13" w:history="1">
              <w:r w:rsidRPr="007234E8">
                <w:rPr>
                  <w:rFonts w:asciiTheme="majorHAnsi" w:hAnsiTheme="majorHAnsi" w:cstheme="majorHAnsi"/>
                  <w:color w:val="0563C1" w:themeColor="hyperlink"/>
                  <w:u w:val="single"/>
                </w:rPr>
                <w:t>www.mangerbouger.fr/recettes-en-2-2</w:t>
              </w:r>
            </w:hyperlink>
          </w:p>
          <w:p w:rsidR="00535AFD" w:rsidRPr="007234E8" w:rsidRDefault="00535AFD" w:rsidP="00535AFD">
            <w:pPr>
              <w:rPr>
                <w:rFonts w:asciiTheme="majorHAnsi" w:hAnsiTheme="majorHAnsi" w:cstheme="majorHAnsi"/>
              </w:rPr>
            </w:pPr>
          </w:p>
          <w:p w:rsidR="00535AFD" w:rsidRPr="007234E8" w:rsidRDefault="00535AFD" w:rsidP="00535AFD">
            <w:pPr>
              <w:rPr>
                <w:rFonts w:asciiTheme="majorHAnsi" w:hAnsiTheme="majorHAnsi" w:cstheme="majorHAnsi"/>
              </w:rPr>
            </w:pPr>
          </w:p>
        </w:tc>
      </w:tr>
      <w:tr w:rsidR="00111B7D" w:rsidTr="00111B7D">
        <w:tc>
          <w:tcPr>
            <w:tcW w:w="2547" w:type="dxa"/>
            <w:vAlign w:val="center"/>
          </w:tcPr>
          <w:p w:rsidR="00111B7D" w:rsidRPr="007234E8" w:rsidRDefault="00111B7D" w:rsidP="00111B7D">
            <w:pPr>
              <w:rPr>
                <w:rFonts w:asciiTheme="majorHAnsi" w:hAnsiTheme="majorHAnsi" w:cstheme="majorHAnsi"/>
                <w:b/>
              </w:rPr>
            </w:pPr>
            <w:r w:rsidRPr="007234E8">
              <w:rPr>
                <w:rFonts w:asciiTheme="majorHAnsi" w:hAnsiTheme="majorHAnsi" w:cstheme="majorHAnsi"/>
                <w:b/>
              </w:rPr>
              <w:t>Outil</w:t>
            </w:r>
          </w:p>
          <w:p w:rsidR="00111B7D" w:rsidRPr="007234E8" w:rsidRDefault="00111B7D" w:rsidP="00111B7D">
            <w:pPr>
              <w:rPr>
                <w:rFonts w:asciiTheme="majorHAnsi" w:hAnsiTheme="majorHAnsi" w:cstheme="majorHAnsi"/>
              </w:rPr>
            </w:pPr>
            <w:r w:rsidRPr="007234E8">
              <w:rPr>
                <w:rFonts w:asciiTheme="majorHAnsi" w:hAnsiTheme="majorHAnsi" w:cstheme="majorHAnsi"/>
              </w:rPr>
              <w:t xml:space="preserve">Site internet – « Mangerbouger.fr » </w:t>
            </w:r>
          </w:p>
          <w:p w:rsidR="00111B7D" w:rsidRPr="007234E8" w:rsidRDefault="00111B7D" w:rsidP="00111B7D">
            <w:pPr>
              <w:rPr>
                <w:rFonts w:asciiTheme="majorHAnsi" w:hAnsiTheme="majorHAnsi" w:cstheme="majorHAnsi"/>
                <w:i/>
              </w:rPr>
            </w:pPr>
            <w:r w:rsidRPr="007234E8">
              <w:rPr>
                <w:rFonts w:asciiTheme="majorHAnsi" w:hAnsiTheme="majorHAnsi" w:cstheme="majorHAnsi"/>
                <w:i/>
                <w:noProof/>
              </w:rPr>
              <w:drawing>
                <wp:anchor distT="0" distB="0" distL="114300" distR="114300" simplePos="0" relativeHeight="251700224" behindDoc="0" locked="0" layoutInCell="1" allowOverlap="1" wp14:anchorId="56B1A1B2" wp14:editId="77951E2D">
                  <wp:simplePos x="0" y="0"/>
                  <wp:positionH relativeFrom="column">
                    <wp:posOffset>-20955</wp:posOffset>
                  </wp:positionH>
                  <wp:positionV relativeFrom="paragraph">
                    <wp:posOffset>188595</wp:posOffset>
                  </wp:positionV>
                  <wp:extent cx="1305560" cy="380365"/>
                  <wp:effectExtent l="0" t="0" r="8890" b="635"/>
                  <wp:wrapSquare wrapText="bothSides"/>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ngerbouger.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05560" cy="380365"/>
                          </a:xfrm>
                          <a:prstGeom prst="rect">
                            <a:avLst/>
                          </a:prstGeom>
                        </pic:spPr>
                      </pic:pic>
                    </a:graphicData>
                  </a:graphic>
                  <wp14:sizeRelH relativeFrom="margin">
                    <wp14:pctWidth>0</wp14:pctWidth>
                  </wp14:sizeRelH>
                  <wp14:sizeRelV relativeFrom="margin">
                    <wp14:pctHeight>0</wp14:pctHeight>
                  </wp14:sizeRelV>
                </wp:anchor>
              </w:drawing>
            </w:r>
            <w:r w:rsidRPr="007234E8">
              <w:rPr>
                <w:rFonts w:asciiTheme="majorHAnsi" w:hAnsiTheme="majorHAnsi" w:cstheme="majorHAnsi"/>
                <w:i/>
              </w:rPr>
              <w:t>Santé Publique France</w:t>
            </w:r>
          </w:p>
          <w:p w:rsidR="00111B7D" w:rsidRPr="007234E8" w:rsidRDefault="00111B7D" w:rsidP="00111B7D">
            <w:pPr>
              <w:rPr>
                <w:rFonts w:asciiTheme="majorHAnsi" w:hAnsiTheme="majorHAnsi" w:cstheme="majorHAnsi"/>
                <w:i/>
              </w:rPr>
            </w:pPr>
          </w:p>
        </w:tc>
        <w:tc>
          <w:tcPr>
            <w:tcW w:w="4311" w:type="dxa"/>
            <w:vAlign w:val="center"/>
          </w:tcPr>
          <w:p w:rsidR="00111B7D" w:rsidRPr="007234E8" w:rsidRDefault="00111B7D" w:rsidP="00111B7D">
            <w:pPr>
              <w:rPr>
                <w:rFonts w:asciiTheme="majorHAnsi" w:hAnsiTheme="majorHAnsi" w:cstheme="majorHAnsi"/>
              </w:rPr>
            </w:pPr>
            <w:r w:rsidRPr="007234E8">
              <w:rPr>
                <w:rFonts w:asciiTheme="majorHAnsi" w:hAnsiTheme="majorHAnsi" w:cstheme="majorHAnsi"/>
              </w:rPr>
              <w:t>Le site « Mangerbouger » délivre des informations sur la nutrition, propose des outils et des conseils pour manger mieux et bouger plus, ainsi que de nombreuses recettes.</w:t>
            </w:r>
          </w:p>
        </w:tc>
        <w:tc>
          <w:tcPr>
            <w:tcW w:w="3110" w:type="dxa"/>
            <w:vAlign w:val="center"/>
          </w:tcPr>
          <w:p w:rsidR="00111B7D" w:rsidRPr="007234E8" w:rsidRDefault="00111B7D" w:rsidP="00111B7D">
            <w:pPr>
              <w:rPr>
                <w:rFonts w:asciiTheme="majorHAnsi" w:hAnsiTheme="majorHAnsi" w:cstheme="majorHAnsi"/>
              </w:rPr>
            </w:pPr>
            <w:r w:rsidRPr="007234E8">
              <w:rPr>
                <w:rFonts w:asciiTheme="majorHAnsi" w:hAnsiTheme="majorHAnsi" w:cstheme="majorHAnsi"/>
              </w:rPr>
              <w:t xml:space="preserve">Librement accessible sur le site : </w:t>
            </w:r>
            <w:hyperlink r:id="rId15" w:history="1">
              <w:r w:rsidRPr="007234E8">
                <w:rPr>
                  <w:rFonts w:asciiTheme="majorHAnsi" w:hAnsiTheme="majorHAnsi" w:cstheme="majorHAnsi"/>
                  <w:color w:val="0563C1" w:themeColor="hyperlink"/>
                  <w:u w:val="single"/>
                </w:rPr>
                <w:t>www.mangerbouger.fr</w:t>
              </w:r>
            </w:hyperlink>
          </w:p>
          <w:p w:rsidR="00111B7D" w:rsidRPr="007234E8" w:rsidRDefault="00111B7D" w:rsidP="00111B7D">
            <w:pPr>
              <w:rPr>
                <w:rFonts w:asciiTheme="majorHAnsi" w:hAnsiTheme="majorHAnsi" w:cstheme="majorHAnsi"/>
              </w:rPr>
            </w:pPr>
          </w:p>
        </w:tc>
      </w:tr>
    </w:tbl>
    <w:p w:rsidR="00535AFD" w:rsidRDefault="00535AFD">
      <w:r>
        <w:br w:type="page"/>
      </w:r>
    </w:p>
    <w:tbl>
      <w:tblPr>
        <w:tblStyle w:val="Grilledutableau"/>
        <w:tblW w:w="0" w:type="auto"/>
        <w:jc w:val="center"/>
        <w:tblLook w:val="04A0" w:firstRow="1" w:lastRow="0" w:firstColumn="1" w:lastColumn="0" w:noHBand="0" w:noVBand="1"/>
      </w:tblPr>
      <w:tblGrid>
        <w:gridCol w:w="2689"/>
        <w:gridCol w:w="4046"/>
        <w:gridCol w:w="3233"/>
      </w:tblGrid>
      <w:tr w:rsidR="00535AFD" w:rsidTr="00FE36B5">
        <w:trPr>
          <w:jc w:val="center"/>
        </w:trPr>
        <w:tc>
          <w:tcPr>
            <w:tcW w:w="2689" w:type="dxa"/>
            <w:shd w:val="clear" w:color="auto" w:fill="DEEAF6" w:themeFill="accent1" w:themeFillTint="33"/>
          </w:tcPr>
          <w:p w:rsidR="00535AFD" w:rsidRPr="00535AFD" w:rsidRDefault="00535AFD" w:rsidP="00535AFD">
            <w:pPr>
              <w:jc w:val="center"/>
              <w:rPr>
                <w:rFonts w:asciiTheme="majorHAnsi" w:hAnsiTheme="majorHAnsi" w:cstheme="majorHAnsi"/>
                <w:b/>
              </w:rPr>
            </w:pPr>
            <w:r w:rsidRPr="00535AFD">
              <w:rPr>
                <w:rFonts w:asciiTheme="majorHAnsi" w:hAnsiTheme="majorHAnsi" w:cstheme="majorHAnsi"/>
                <w:b/>
              </w:rPr>
              <w:lastRenderedPageBreak/>
              <w:t>Actions/Outils</w:t>
            </w:r>
          </w:p>
        </w:tc>
        <w:tc>
          <w:tcPr>
            <w:tcW w:w="4046" w:type="dxa"/>
            <w:shd w:val="clear" w:color="auto" w:fill="DEEAF6" w:themeFill="accent1" w:themeFillTint="33"/>
          </w:tcPr>
          <w:p w:rsidR="00535AFD" w:rsidRPr="00535AFD" w:rsidRDefault="00535AFD" w:rsidP="00535AFD">
            <w:pPr>
              <w:jc w:val="center"/>
              <w:rPr>
                <w:rFonts w:asciiTheme="majorHAnsi" w:hAnsiTheme="majorHAnsi" w:cstheme="majorHAnsi"/>
                <w:b/>
              </w:rPr>
            </w:pPr>
            <w:r w:rsidRPr="00535AFD">
              <w:rPr>
                <w:rFonts w:asciiTheme="majorHAnsi" w:hAnsiTheme="majorHAnsi" w:cstheme="majorHAnsi"/>
                <w:b/>
              </w:rPr>
              <w:t>Descriptif</w:t>
            </w:r>
          </w:p>
        </w:tc>
        <w:tc>
          <w:tcPr>
            <w:tcW w:w="3233" w:type="dxa"/>
            <w:shd w:val="clear" w:color="auto" w:fill="DEEAF6" w:themeFill="accent1" w:themeFillTint="33"/>
          </w:tcPr>
          <w:p w:rsidR="00535AFD" w:rsidRPr="00535AFD" w:rsidRDefault="00535AFD" w:rsidP="00535AFD">
            <w:pPr>
              <w:jc w:val="center"/>
              <w:rPr>
                <w:rFonts w:asciiTheme="majorHAnsi" w:hAnsiTheme="majorHAnsi" w:cstheme="majorHAnsi"/>
                <w:b/>
              </w:rPr>
            </w:pPr>
            <w:r w:rsidRPr="00535AFD">
              <w:rPr>
                <w:rFonts w:asciiTheme="majorHAnsi" w:hAnsiTheme="majorHAnsi" w:cstheme="majorHAnsi"/>
                <w:b/>
              </w:rPr>
              <w:t>Informations pratiques</w:t>
            </w:r>
          </w:p>
        </w:tc>
      </w:tr>
      <w:tr w:rsidR="00535AFD" w:rsidTr="00FE36B5">
        <w:trPr>
          <w:jc w:val="center"/>
        </w:trPr>
        <w:tc>
          <w:tcPr>
            <w:tcW w:w="2689" w:type="dxa"/>
            <w:vAlign w:val="center"/>
          </w:tcPr>
          <w:p w:rsidR="0048495D" w:rsidRPr="0048495D" w:rsidRDefault="0048495D" w:rsidP="00535AFD">
            <w:pPr>
              <w:rPr>
                <w:rFonts w:asciiTheme="majorHAnsi" w:hAnsiTheme="majorHAnsi" w:cstheme="majorHAnsi"/>
                <w:b/>
              </w:rPr>
            </w:pPr>
            <w:r w:rsidRPr="0048495D">
              <w:rPr>
                <w:rFonts w:asciiTheme="majorHAnsi" w:hAnsiTheme="majorHAnsi" w:cstheme="majorHAnsi"/>
                <w:b/>
              </w:rPr>
              <w:t>Outil</w:t>
            </w:r>
          </w:p>
          <w:p w:rsidR="00535AFD" w:rsidRPr="00740E4A" w:rsidRDefault="0048495D" w:rsidP="00535AFD">
            <w:pPr>
              <w:rPr>
                <w:rFonts w:asciiTheme="majorHAnsi" w:hAnsiTheme="majorHAnsi" w:cstheme="majorHAnsi"/>
              </w:rPr>
            </w:pPr>
            <w:r>
              <w:rPr>
                <w:rFonts w:asciiTheme="majorHAnsi" w:hAnsiTheme="majorHAnsi" w:cstheme="majorHAnsi"/>
              </w:rPr>
              <w:t>Kit de promotion Nutri-s</w:t>
            </w:r>
            <w:r w:rsidR="00535AFD" w:rsidRPr="00740E4A">
              <w:rPr>
                <w:rFonts w:asciiTheme="majorHAnsi" w:hAnsiTheme="majorHAnsi" w:cstheme="majorHAnsi"/>
              </w:rPr>
              <w:t xml:space="preserve">core – </w:t>
            </w:r>
            <w:r w:rsidR="00535AFD" w:rsidRPr="00740E4A">
              <w:rPr>
                <w:rFonts w:asciiTheme="majorHAnsi" w:hAnsiTheme="majorHAnsi" w:cstheme="majorHAnsi"/>
                <w:i/>
              </w:rPr>
              <w:t>Santé publique France</w:t>
            </w:r>
          </w:p>
          <w:p w:rsidR="00535AFD" w:rsidRPr="001D1CD5" w:rsidRDefault="00535AFD" w:rsidP="00535AFD">
            <w:pPr>
              <w:rPr>
                <w:rFonts w:ascii="Times New Roman" w:hAnsi="Times New Roman" w:cs="Times New Roman"/>
                <w:sz w:val="18"/>
              </w:rPr>
            </w:pPr>
          </w:p>
          <w:p w:rsidR="00535AFD" w:rsidRPr="007234E8" w:rsidRDefault="00535AFD" w:rsidP="00535AFD">
            <w:pPr>
              <w:rPr>
                <w:rFonts w:asciiTheme="majorHAnsi" w:hAnsiTheme="majorHAnsi" w:cstheme="majorHAnsi"/>
                <w:b/>
              </w:rPr>
            </w:pPr>
            <w:r w:rsidRPr="001D1CD5">
              <w:rPr>
                <w:rFonts w:ascii="Times New Roman" w:hAnsi="Times New Roman" w:cs="Times New Roman"/>
                <w:noProof/>
                <w:sz w:val="18"/>
              </w:rPr>
              <w:drawing>
                <wp:inline distT="0" distB="0" distL="0" distR="0" wp14:anchorId="07F49D93" wp14:editId="4E4DB6B1">
                  <wp:extent cx="835819" cy="495300"/>
                  <wp:effectExtent l="0" t="0" r="254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Nutri-sco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41193" cy="498485"/>
                          </a:xfrm>
                          <a:prstGeom prst="rect">
                            <a:avLst/>
                          </a:prstGeom>
                        </pic:spPr>
                      </pic:pic>
                    </a:graphicData>
                  </a:graphic>
                </wp:inline>
              </w:drawing>
            </w:r>
          </w:p>
        </w:tc>
        <w:tc>
          <w:tcPr>
            <w:tcW w:w="4046" w:type="dxa"/>
            <w:vAlign w:val="center"/>
          </w:tcPr>
          <w:p w:rsidR="00535AFD" w:rsidRPr="007234E8" w:rsidRDefault="00535AFD" w:rsidP="00111B7D">
            <w:pPr>
              <w:jc w:val="both"/>
              <w:rPr>
                <w:rFonts w:asciiTheme="majorHAnsi" w:hAnsiTheme="majorHAnsi" w:cstheme="majorHAnsi"/>
              </w:rPr>
            </w:pPr>
            <w:r w:rsidRPr="00740E4A">
              <w:rPr>
                <w:rFonts w:asciiTheme="majorHAnsi" w:hAnsiTheme="majorHAnsi" w:cstheme="majorHAnsi"/>
                <w:shd w:val="clear" w:color="auto" w:fill="FFFFFF"/>
              </w:rPr>
              <w:t xml:space="preserve">Le kit promotionnel a pour </w:t>
            </w:r>
            <w:r w:rsidR="0048495D">
              <w:rPr>
                <w:rFonts w:asciiTheme="majorHAnsi" w:hAnsiTheme="majorHAnsi" w:cstheme="majorHAnsi"/>
                <w:shd w:val="clear" w:color="auto" w:fill="FFFFFF"/>
              </w:rPr>
              <w:t>objectif de présenter le Nutri-s</w:t>
            </w:r>
            <w:r w:rsidRPr="00740E4A">
              <w:rPr>
                <w:rFonts w:asciiTheme="majorHAnsi" w:hAnsiTheme="majorHAnsi" w:cstheme="majorHAnsi"/>
                <w:shd w:val="clear" w:color="auto" w:fill="FFFFFF"/>
              </w:rPr>
              <w:t>core. Il présente synthétiquement l’utilité de ce logo développé par les pouvoirs publics. Il explique comme l’utiliser dans la consommation quotidienne alimentaire. Ce kit se compose d’un dépliant, d’un dossier pédagogique, d’une vidéo et d’un sticker de communication. Le dépliant en accordéon et la vidéo sont des supports très simples de communication destinés au grand public. Le guide pédagogique est quant à lui destiné préférentiellement aux professionnels afin d’expliquer le processus de réflexion collectif ayant abouti à ce logo. Il peut également être proposé au grand public curieux de savoir comment ce logo a été développé.</w:t>
            </w:r>
          </w:p>
        </w:tc>
        <w:tc>
          <w:tcPr>
            <w:tcW w:w="3233" w:type="dxa"/>
            <w:vAlign w:val="center"/>
          </w:tcPr>
          <w:p w:rsidR="00FB6E53" w:rsidRDefault="00FB6E53" w:rsidP="00535AFD">
            <w:pPr>
              <w:rPr>
                <w:rFonts w:asciiTheme="majorHAnsi" w:hAnsiTheme="majorHAnsi" w:cstheme="majorHAnsi"/>
              </w:rPr>
            </w:pPr>
            <w:r w:rsidRPr="007234E8">
              <w:rPr>
                <w:rFonts w:asciiTheme="majorHAnsi" w:hAnsiTheme="majorHAnsi" w:cstheme="majorHAnsi"/>
              </w:rPr>
              <w:t>Li</w:t>
            </w:r>
            <w:r>
              <w:rPr>
                <w:rFonts w:asciiTheme="majorHAnsi" w:hAnsiTheme="majorHAnsi" w:cstheme="majorHAnsi"/>
              </w:rPr>
              <w:t xml:space="preserve">brement accessible sur le site de Santé Publique France : </w:t>
            </w:r>
            <w:hyperlink r:id="rId17" w:history="1">
              <w:r w:rsidRPr="00FB6E53">
                <w:rPr>
                  <w:rStyle w:val="Lienhypertexte"/>
                  <w:rFonts w:asciiTheme="majorHAnsi" w:hAnsiTheme="majorHAnsi" w:cstheme="majorHAnsi"/>
                </w:rPr>
                <w:t>lien</w:t>
              </w:r>
            </w:hyperlink>
          </w:p>
          <w:p w:rsidR="00FB6E53" w:rsidRPr="007234E8" w:rsidRDefault="00FB6E53" w:rsidP="00535AFD">
            <w:pPr>
              <w:rPr>
                <w:rFonts w:asciiTheme="majorHAnsi" w:hAnsiTheme="majorHAnsi" w:cstheme="majorHAnsi"/>
              </w:rPr>
            </w:pPr>
          </w:p>
        </w:tc>
      </w:tr>
      <w:tr w:rsidR="00FB6E53" w:rsidTr="00FE36B5">
        <w:trPr>
          <w:jc w:val="center"/>
        </w:trPr>
        <w:tc>
          <w:tcPr>
            <w:tcW w:w="2689" w:type="dxa"/>
            <w:vAlign w:val="center"/>
          </w:tcPr>
          <w:p w:rsidR="0048495D" w:rsidRPr="0048495D" w:rsidRDefault="0048495D" w:rsidP="00FB6E53">
            <w:pPr>
              <w:rPr>
                <w:rFonts w:asciiTheme="majorHAnsi" w:hAnsiTheme="majorHAnsi" w:cstheme="majorHAnsi"/>
                <w:b/>
              </w:rPr>
            </w:pPr>
            <w:r w:rsidRPr="0048495D">
              <w:rPr>
                <w:rFonts w:asciiTheme="majorHAnsi" w:hAnsiTheme="majorHAnsi" w:cstheme="majorHAnsi"/>
                <w:b/>
              </w:rPr>
              <w:t>Outil</w:t>
            </w:r>
          </w:p>
          <w:p w:rsidR="00FB6E53" w:rsidRPr="00740E4A" w:rsidRDefault="00FB6E53" w:rsidP="00FB6E53">
            <w:pPr>
              <w:rPr>
                <w:rFonts w:asciiTheme="majorHAnsi" w:hAnsiTheme="majorHAnsi" w:cstheme="majorHAnsi"/>
                <w:i/>
              </w:rPr>
            </w:pPr>
            <w:r w:rsidRPr="00740E4A">
              <w:rPr>
                <w:rFonts w:asciiTheme="majorHAnsi" w:hAnsiTheme="majorHAnsi" w:cstheme="majorHAnsi"/>
                <w:noProof/>
              </w:rPr>
              <w:drawing>
                <wp:anchor distT="0" distB="0" distL="114300" distR="114300" simplePos="0" relativeHeight="251689984" behindDoc="0" locked="0" layoutInCell="1" allowOverlap="1" wp14:anchorId="586B5D04" wp14:editId="29DC38FF">
                  <wp:simplePos x="0" y="0"/>
                  <wp:positionH relativeFrom="column">
                    <wp:posOffset>145034</wp:posOffset>
                  </wp:positionH>
                  <wp:positionV relativeFrom="paragraph">
                    <wp:posOffset>345897</wp:posOffset>
                  </wp:positionV>
                  <wp:extent cx="738835" cy="1119447"/>
                  <wp:effectExtent l="0" t="0" r="4445" b="5080"/>
                  <wp:wrapSquare wrapText="bothSides"/>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iature_couv_nutriscor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38835" cy="1119447"/>
                          </a:xfrm>
                          <a:prstGeom prst="rect">
                            <a:avLst/>
                          </a:prstGeom>
                        </pic:spPr>
                      </pic:pic>
                    </a:graphicData>
                  </a:graphic>
                </wp:anchor>
              </w:drawing>
            </w:r>
            <w:r w:rsidRPr="00740E4A">
              <w:rPr>
                <w:rFonts w:asciiTheme="majorHAnsi" w:hAnsiTheme="majorHAnsi" w:cstheme="majorHAnsi"/>
              </w:rPr>
              <w:t xml:space="preserve">Brochure Nutri-score – </w:t>
            </w:r>
            <w:r w:rsidRPr="00740E4A">
              <w:rPr>
                <w:rFonts w:asciiTheme="majorHAnsi" w:hAnsiTheme="majorHAnsi" w:cstheme="majorHAnsi"/>
                <w:i/>
              </w:rPr>
              <w:t>Santé publique France</w:t>
            </w:r>
          </w:p>
          <w:p w:rsidR="00FB6E53" w:rsidRPr="00740E4A" w:rsidRDefault="00FB6E53" w:rsidP="00FB6E53">
            <w:pPr>
              <w:rPr>
                <w:rFonts w:asciiTheme="majorHAnsi" w:hAnsiTheme="majorHAnsi" w:cstheme="majorHAnsi"/>
              </w:rPr>
            </w:pPr>
          </w:p>
        </w:tc>
        <w:tc>
          <w:tcPr>
            <w:tcW w:w="4046" w:type="dxa"/>
            <w:vAlign w:val="center"/>
          </w:tcPr>
          <w:p w:rsidR="00FB6E53" w:rsidRPr="00740E4A" w:rsidRDefault="00FB6E53" w:rsidP="00111B7D">
            <w:pPr>
              <w:jc w:val="both"/>
              <w:rPr>
                <w:rFonts w:asciiTheme="majorHAnsi" w:hAnsiTheme="majorHAnsi" w:cstheme="majorHAnsi"/>
                <w:shd w:val="clear" w:color="auto" w:fill="FFFFFF"/>
              </w:rPr>
            </w:pPr>
            <w:r w:rsidRPr="00740E4A">
              <w:rPr>
                <w:rFonts w:asciiTheme="majorHAnsi" w:hAnsiTheme="majorHAnsi" w:cstheme="majorHAnsi"/>
                <w:shd w:val="clear" w:color="auto" w:fill="FFFFFF"/>
              </w:rPr>
              <w:t>La brochure « Le Nutri-score pour mieux manger en un coup d’œil » rassemble toutes les clés pour comprendre comment bien utiliser le</w:t>
            </w:r>
            <w:r w:rsidR="0048495D">
              <w:rPr>
                <w:rFonts w:asciiTheme="majorHAnsi" w:hAnsiTheme="majorHAnsi" w:cstheme="majorHAnsi"/>
                <w:shd w:val="clear" w:color="auto" w:fill="FFFFFF"/>
              </w:rPr>
              <w:t xml:space="preserve"> Nutri-s</w:t>
            </w:r>
            <w:r w:rsidRPr="00740E4A">
              <w:rPr>
                <w:rFonts w:asciiTheme="majorHAnsi" w:hAnsiTheme="majorHAnsi" w:cstheme="majorHAnsi"/>
                <w:shd w:val="clear" w:color="auto" w:fill="FFFFFF"/>
              </w:rPr>
              <w:t>core. Ce dernier est bien utile pour choisir les produits de meilleur qualité nutritionnelle quand on fait ses courses.</w:t>
            </w:r>
          </w:p>
          <w:p w:rsidR="00FB6E53" w:rsidRPr="00740E4A" w:rsidRDefault="00FB6E53" w:rsidP="00111B7D">
            <w:pPr>
              <w:jc w:val="both"/>
              <w:rPr>
                <w:rFonts w:asciiTheme="majorHAnsi" w:hAnsiTheme="majorHAnsi" w:cstheme="majorHAnsi"/>
                <w:shd w:val="clear" w:color="auto" w:fill="FFFFFF"/>
              </w:rPr>
            </w:pPr>
            <w:r w:rsidRPr="00740E4A">
              <w:rPr>
                <w:rFonts w:asciiTheme="majorHAnsi" w:hAnsiTheme="majorHAnsi" w:cstheme="majorHAnsi"/>
              </w:rPr>
              <w:t xml:space="preserve"> </w:t>
            </w:r>
          </w:p>
        </w:tc>
        <w:tc>
          <w:tcPr>
            <w:tcW w:w="3233" w:type="dxa"/>
            <w:vAlign w:val="center"/>
          </w:tcPr>
          <w:p w:rsidR="00FB6E53" w:rsidRPr="001D1CD5" w:rsidRDefault="00FB6E53" w:rsidP="00FB6E53">
            <w:pPr>
              <w:rPr>
                <w:rFonts w:ascii="Times New Roman" w:hAnsi="Times New Roman" w:cs="Times New Roman"/>
                <w:sz w:val="18"/>
              </w:rPr>
            </w:pPr>
            <w:r>
              <w:rPr>
                <w:rFonts w:asciiTheme="majorHAnsi" w:hAnsiTheme="majorHAnsi" w:cstheme="majorHAnsi"/>
              </w:rPr>
              <w:t>B</w:t>
            </w:r>
            <w:r w:rsidRPr="00740E4A">
              <w:rPr>
                <w:rFonts w:asciiTheme="majorHAnsi" w:hAnsiTheme="majorHAnsi" w:cstheme="majorHAnsi"/>
              </w:rPr>
              <w:t>rochure télécharge</w:t>
            </w:r>
            <w:r>
              <w:rPr>
                <w:rFonts w:asciiTheme="majorHAnsi" w:hAnsiTheme="majorHAnsi" w:cstheme="majorHAnsi"/>
              </w:rPr>
              <w:t>able</w:t>
            </w:r>
            <w:r w:rsidRPr="00740E4A">
              <w:rPr>
                <w:rFonts w:asciiTheme="majorHAnsi" w:hAnsiTheme="majorHAnsi" w:cstheme="majorHAnsi"/>
              </w:rPr>
              <w:t xml:space="preserve"> sur le site </w:t>
            </w:r>
            <w:hyperlink r:id="rId19" w:history="1">
              <w:r w:rsidRPr="005D2A7A">
                <w:rPr>
                  <w:rStyle w:val="Lienhypertexte"/>
                  <w:rFonts w:asciiTheme="majorHAnsi" w:hAnsiTheme="majorHAnsi" w:cstheme="majorHAnsi"/>
                </w:rPr>
                <w:t>www.mangerbouger.fr</w:t>
              </w:r>
            </w:hyperlink>
            <w:r>
              <w:rPr>
                <w:rFonts w:asciiTheme="majorHAnsi" w:hAnsiTheme="majorHAnsi" w:cstheme="majorHAnsi"/>
              </w:rPr>
              <w:t xml:space="preserve"> </w:t>
            </w:r>
          </w:p>
        </w:tc>
      </w:tr>
      <w:tr w:rsidR="00AA05C0" w:rsidTr="00FE36B5">
        <w:trPr>
          <w:jc w:val="center"/>
        </w:trPr>
        <w:tc>
          <w:tcPr>
            <w:tcW w:w="2689" w:type="dxa"/>
          </w:tcPr>
          <w:p w:rsidR="00AA05C0" w:rsidRPr="00045355" w:rsidRDefault="00AA05C0" w:rsidP="00AA05C0">
            <w:pPr>
              <w:rPr>
                <w:rFonts w:asciiTheme="majorHAnsi" w:hAnsiTheme="majorHAnsi" w:cstheme="majorHAnsi"/>
                <w:b/>
              </w:rPr>
            </w:pPr>
            <w:r w:rsidRPr="00045355">
              <w:rPr>
                <w:rFonts w:asciiTheme="majorHAnsi" w:hAnsiTheme="majorHAnsi" w:cstheme="majorHAnsi"/>
                <w:b/>
              </w:rPr>
              <w:t>Outil</w:t>
            </w:r>
          </w:p>
          <w:p w:rsidR="00AA05C0" w:rsidRDefault="00AA05C0" w:rsidP="00AA05C0">
            <w:pPr>
              <w:rPr>
                <w:rFonts w:asciiTheme="majorHAnsi" w:hAnsiTheme="majorHAnsi" w:cstheme="majorHAnsi"/>
                <w:i/>
              </w:rPr>
            </w:pPr>
            <w:r>
              <w:rPr>
                <w:rFonts w:asciiTheme="majorHAnsi" w:hAnsiTheme="majorHAnsi" w:cstheme="majorHAnsi"/>
              </w:rPr>
              <w:t>Capsules vidéo</w:t>
            </w:r>
            <w:r w:rsidRPr="001E29F1">
              <w:rPr>
                <w:rFonts w:asciiTheme="majorHAnsi" w:hAnsiTheme="majorHAnsi" w:cstheme="majorHAnsi"/>
              </w:rPr>
              <w:t xml:space="preserve"> Nutri-score – </w:t>
            </w:r>
            <w:r w:rsidRPr="001E29F1">
              <w:rPr>
                <w:rFonts w:asciiTheme="majorHAnsi" w:hAnsiTheme="majorHAnsi" w:cstheme="majorHAnsi"/>
                <w:i/>
              </w:rPr>
              <w:t xml:space="preserve">Santé publique </w:t>
            </w:r>
            <w:r>
              <w:rPr>
                <w:rFonts w:asciiTheme="majorHAnsi" w:hAnsiTheme="majorHAnsi" w:cstheme="majorHAnsi"/>
                <w:i/>
              </w:rPr>
              <w:t>France</w:t>
            </w:r>
          </w:p>
          <w:p w:rsidR="00AA05C0" w:rsidRDefault="00AA05C0" w:rsidP="00AA05C0">
            <w:pPr>
              <w:rPr>
                <w:rFonts w:asciiTheme="majorHAnsi" w:hAnsiTheme="majorHAnsi" w:cstheme="majorHAnsi"/>
                <w:i/>
              </w:rPr>
            </w:pPr>
          </w:p>
          <w:p w:rsidR="00AA05C0" w:rsidRPr="001E29F1" w:rsidRDefault="00AA05C0" w:rsidP="00AA05C0">
            <w:pPr>
              <w:jc w:val="center"/>
              <w:rPr>
                <w:rFonts w:asciiTheme="majorHAnsi" w:hAnsiTheme="majorHAnsi" w:cstheme="majorHAnsi"/>
              </w:rPr>
            </w:pPr>
            <w:r>
              <w:rPr>
                <w:rFonts w:asciiTheme="majorHAnsi" w:hAnsiTheme="majorHAnsi" w:cstheme="majorHAnsi"/>
                <w:noProof/>
              </w:rPr>
              <w:drawing>
                <wp:inline distT="0" distB="0" distL="0" distR="0" wp14:anchorId="6D8576E8" wp14:editId="342F9E5D">
                  <wp:extent cx="1570355" cy="87503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notation 2021-07-07 100438.jpg"/>
                          <pic:cNvPicPr/>
                        </pic:nvPicPr>
                        <pic:blipFill>
                          <a:blip r:embed="rId20">
                            <a:extLst>
                              <a:ext uri="{28A0092B-C50C-407E-A947-70E740481C1C}">
                                <a14:useLocalDpi xmlns:a14="http://schemas.microsoft.com/office/drawing/2010/main" val="0"/>
                              </a:ext>
                            </a:extLst>
                          </a:blip>
                          <a:stretch>
                            <a:fillRect/>
                          </a:stretch>
                        </pic:blipFill>
                        <pic:spPr>
                          <a:xfrm>
                            <a:off x="0" y="0"/>
                            <a:ext cx="1570355" cy="875030"/>
                          </a:xfrm>
                          <a:prstGeom prst="rect">
                            <a:avLst/>
                          </a:prstGeom>
                        </pic:spPr>
                      </pic:pic>
                    </a:graphicData>
                  </a:graphic>
                </wp:inline>
              </w:drawing>
            </w:r>
          </w:p>
          <w:p w:rsidR="00AA05C0" w:rsidRPr="001E29F1" w:rsidRDefault="00AA05C0" w:rsidP="00AA05C0">
            <w:pPr>
              <w:rPr>
                <w:rFonts w:asciiTheme="majorHAnsi" w:hAnsiTheme="majorHAnsi" w:cstheme="majorHAnsi"/>
                <w:i/>
              </w:rPr>
            </w:pPr>
          </w:p>
          <w:p w:rsidR="00AA05C0" w:rsidRPr="001E29F1" w:rsidRDefault="00AA05C0" w:rsidP="00AA05C0">
            <w:pPr>
              <w:rPr>
                <w:rFonts w:asciiTheme="majorHAnsi" w:hAnsiTheme="majorHAnsi" w:cstheme="majorHAnsi"/>
              </w:rPr>
            </w:pPr>
          </w:p>
        </w:tc>
        <w:tc>
          <w:tcPr>
            <w:tcW w:w="4046" w:type="dxa"/>
          </w:tcPr>
          <w:p w:rsidR="00AA05C0" w:rsidRPr="001E29F1" w:rsidRDefault="00AA05C0" w:rsidP="00AA05C0">
            <w:pPr>
              <w:rPr>
                <w:rFonts w:asciiTheme="majorHAnsi" w:hAnsiTheme="majorHAnsi" w:cstheme="majorHAnsi"/>
              </w:rPr>
            </w:pPr>
            <w:r w:rsidRPr="001E29F1">
              <w:rPr>
                <w:rFonts w:asciiTheme="majorHAnsi" w:hAnsiTheme="majorHAnsi" w:cstheme="majorHAnsi"/>
              </w:rPr>
              <w:t xml:space="preserve">Ces 4 </w:t>
            </w:r>
            <w:r>
              <w:rPr>
                <w:rFonts w:asciiTheme="majorHAnsi" w:hAnsiTheme="majorHAnsi" w:cstheme="majorHAnsi"/>
              </w:rPr>
              <w:t>capsules vidéo</w:t>
            </w:r>
            <w:r w:rsidRPr="001E29F1">
              <w:rPr>
                <w:rFonts w:asciiTheme="majorHAnsi" w:hAnsiTheme="majorHAnsi" w:cstheme="majorHAnsi"/>
              </w:rPr>
              <w:t xml:space="preserve"> de 30 secondes </w:t>
            </w:r>
            <w:r>
              <w:rPr>
                <w:rFonts w:asciiTheme="majorHAnsi" w:hAnsiTheme="majorHAnsi" w:cstheme="majorHAnsi"/>
              </w:rPr>
              <w:t>présentent le Nutri-s</w:t>
            </w:r>
            <w:r w:rsidRPr="001E29F1">
              <w:rPr>
                <w:rFonts w:asciiTheme="majorHAnsi" w:hAnsiTheme="majorHAnsi" w:cstheme="majorHAnsi"/>
              </w:rPr>
              <w:t>core</w:t>
            </w:r>
            <w:r>
              <w:rPr>
                <w:rFonts w:asciiTheme="majorHAnsi" w:hAnsiTheme="majorHAnsi" w:cstheme="majorHAnsi"/>
              </w:rPr>
              <w:t xml:space="preserve"> (« Un Nutri-score C c’est bon ou mauvais ? », « Comment mieux manger en un coup d’œil ? », « Pourquoi certaines frites surgelées sont-elles Nutri-score A ? », « Le Nutri-score prend-il en compte les additifs ? »)</w:t>
            </w:r>
            <w:r w:rsidRPr="001E29F1">
              <w:rPr>
                <w:rFonts w:asciiTheme="majorHAnsi" w:hAnsiTheme="majorHAnsi" w:cstheme="majorHAnsi"/>
              </w:rPr>
              <w:t xml:space="preserve">. Ces </w:t>
            </w:r>
            <w:r>
              <w:rPr>
                <w:rFonts w:asciiTheme="majorHAnsi" w:hAnsiTheme="majorHAnsi" w:cstheme="majorHAnsi"/>
              </w:rPr>
              <w:t xml:space="preserve">capsules vidéo </w:t>
            </w:r>
            <w:r w:rsidRPr="001E29F1">
              <w:rPr>
                <w:rFonts w:asciiTheme="majorHAnsi" w:hAnsiTheme="majorHAnsi" w:cstheme="majorHAnsi"/>
              </w:rPr>
              <w:t>abordent les aspects pratiques du Nutri-score, à savoir comment le comprendre et l’utiliser</w:t>
            </w:r>
            <w:r>
              <w:rPr>
                <w:rFonts w:asciiTheme="majorHAnsi" w:hAnsiTheme="majorHAnsi" w:cstheme="majorHAnsi"/>
              </w:rPr>
              <w:t xml:space="preserve"> au quotidien</w:t>
            </w:r>
            <w:r w:rsidRPr="001E29F1">
              <w:rPr>
                <w:rFonts w:asciiTheme="majorHAnsi" w:hAnsiTheme="majorHAnsi" w:cstheme="majorHAnsi"/>
              </w:rPr>
              <w:t xml:space="preserve">. </w:t>
            </w:r>
            <w:r>
              <w:rPr>
                <w:rFonts w:asciiTheme="majorHAnsi" w:hAnsiTheme="majorHAnsi" w:cstheme="majorHAnsi"/>
              </w:rPr>
              <w:t>Elles sont</w:t>
            </w:r>
            <w:r w:rsidRPr="001E29F1">
              <w:rPr>
                <w:rFonts w:asciiTheme="majorHAnsi" w:hAnsiTheme="majorHAnsi" w:cstheme="majorHAnsi"/>
              </w:rPr>
              <w:t xml:space="preserve"> complémentaire</w:t>
            </w:r>
            <w:r>
              <w:rPr>
                <w:rFonts w:asciiTheme="majorHAnsi" w:hAnsiTheme="majorHAnsi" w:cstheme="majorHAnsi"/>
              </w:rPr>
              <w:t>s</w:t>
            </w:r>
            <w:r w:rsidRPr="001E29F1">
              <w:rPr>
                <w:rFonts w:asciiTheme="majorHAnsi" w:hAnsiTheme="majorHAnsi" w:cstheme="majorHAnsi"/>
              </w:rPr>
              <w:t xml:space="preserve"> de la brochure </w:t>
            </w:r>
            <w:r>
              <w:rPr>
                <w:rFonts w:asciiTheme="majorHAnsi" w:hAnsiTheme="majorHAnsi" w:cstheme="majorHAnsi"/>
              </w:rPr>
              <w:t>« Le Nutri-s</w:t>
            </w:r>
            <w:r w:rsidRPr="001E29F1">
              <w:rPr>
                <w:rFonts w:asciiTheme="majorHAnsi" w:hAnsiTheme="majorHAnsi" w:cstheme="majorHAnsi"/>
              </w:rPr>
              <w:t>core pour mieux manger en coup d’œil</w:t>
            </w:r>
            <w:r>
              <w:rPr>
                <w:rFonts w:asciiTheme="majorHAnsi" w:hAnsiTheme="majorHAnsi" w:cstheme="majorHAnsi"/>
              </w:rPr>
              <w:t> ».</w:t>
            </w:r>
          </w:p>
        </w:tc>
        <w:tc>
          <w:tcPr>
            <w:tcW w:w="3233" w:type="dxa"/>
          </w:tcPr>
          <w:p w:rsidR="00AA05C0" w:rsidRDefault="00AA05C0" w:rsidP="00AA05C0">
            <w:pPr>
              <w:rPr>
                <w:rFonts w:asciiTheme="majorHAnsi" w:hAnsiTheme="majorHAnsi" w:cstheme="majorHAnsi"/>
              </w:rPr>
            </w:pPr>
            <w:r w:rsidRPr="001E29F1">
              <w:rPr>
                <w:rFonts w:asciiTheme="majorHAnsi" w:hAnsiTheme="majorHAnsi" w:cstheme="majorHAnsi"/>
              </w:rPr>
              <w:t>Les vidéos sont diffusées sur Youtube, Facebook, Snapchat et Instagram</w:t>
            </w:r>
            <w:r>
              <w:rPr>
                <w:rFonts w:asciiTheme="majorHAnsi" w:hAnsiTheme="majorHAnsi" w:cstheme="majorHAnsi"/>
              </w:rPr>
              <w:t>.</w:t>
            </w:r>
          </w:p>
          <w:p w:rsidR="00AA05C0" w:rsidRPr="00542645" w:rsidRDefault="006D3790" w:rsidP="00AA05C0">
            <w:pPr>
              <w:pStyle w:val="Sansinterligne"/>
              <w:ind w:right="284"/>
              <w:rPr>
                <w:rFonts w:asciiTheme="majorHAnsi" w:hAnsiTheme="majorHAnsi" w:cstheme="majorHAnsi"/>
                <w:color w:val="0070C0"/>
                <w:u w:val="single"/>
              </w:rPr>
            </w:pPr>
            <w:hyperlink r:id="rId21" w:history="1">
              <w:r w:rsidR="00AA05C0" w:rsidRPr="00542645">
                <w:rPr>
                  <w:rStyle w:val="Lienhypertexte"/>
                  <w:rFonts w:asciiTheme="majorHAnsi" w:hAnsiTheme="majorHAnsi" w:cstheme="majorHAnsi"/>
                  <w:i/>
                  <w:iCs/>
                  <w:color w:val="0070C0"/>
                </w:rPr>
                <w:t>« Comment mieux manger en un coup d’œil ? »</w:t>
              </w:r>
            </w:hyperlink>
            <w:r w:rsidR="00AA05C0" w:rsidRPr="00542645">
              <w:rPr>
                <w:rFonts w:asciiTheme="majorHAnsi" w:hAnsiTheme="majorHAnsi" w:cstheme="majorHAnsi"/>
                <w:i/>
                <w:iCs/>
                <w:color w:val="0070C0"/>
                <w:u w:val="single"/>
              </w:rPr>
              <w:t xml:space="preserve"> </w:t>
            </w:r>
          </w:p>
          <w:p w:rsidR="00AA05C0" w:rsidRPr="00542645" w:rsidRDefault="00AA05C0" w:rsidP="00AA05C0">
            <w:pPr>
              <w:rPr>
                <w:rFonts w:asciiTheme="majorHAnsi" w:hAnsiTheme="majorHAnsi" w:cstheme="majorHAnsi"/>
                <w:color w:val="0070C0"/>
                <w:u w:val="single"/>
              </w:rPr>
            </w:pPr>
            <w:r w:rsidRPr="00542645">
              <w:rPr>
                <w:rFonts w:asciiTheme="majorHAnsi" w:hAnsiTheme="majorHAnsi" w:cstheme="majorHAnsi"/>
                <w:i/>
                <w:iCs/>
                <w:color w:val="0070C0"/>
                <w:u w:val="single"/>
              </w:rPr>
              <w:t>« </w:t>
            </w:r>
            <w:hyperlink r:id="rId22" w:history="1">
              <w:r w:rsidRPr="00542645">
                <w:rPr>
                  <w:rStyle w:val="Lienhypertexte"/>
                  <w:rFonts w:asciiTheme="majorHAnsi" w:hAnsiTheme="majorHAnsi" w:cstheme="majorHAnsi"/>
                  <w:i/>
                  <w:iCs/>
                  <w:color w:val="0070C0"/>
                </w:rPr>
                <w:t>Pourquoi certaines frites surgelées sont-elles Nutri-Score A </w:t>
              </w:r>
            </w:hyperlink>
            <w:r w:rsidRPr="00542645">
              <w:rPr>
                <w:rFonts w:asciiTheme="majorHAnsi" w:hAnsiTheme="majorHAnsi" w:cstheme="majorHAnsi"/>
                <w:i/>
                <w:iCs/>
                <w:color w:val="0070C0"/>
                <w:u w:val="single"/>
              </w:rPr>
              <w:t>? »</w:t>
            </w:r>
          </w:p>
          <w:p w:rsidR="00AA05C0" w:rsidRPr="00542645" w:rsidRDefault="00AA05C0" w:rsidP="00AA05C0">
            <w:pPr>
              <w:rPr>
                <w:rFonts w:asciiTheme="majorHAnsi" w:hAnsiTheme="majorHAnsi" w:cstheme="majorHAnsi"/>
                <w:color w:val="0070C0"/>
                <w:u w:val="single"/>
              </w:rPr>
            </w:pPr>
            <w:r w:rsidRPr="00542645">
              <w:rPr>
                <w:rFonts w:asciiTheme="majorHAnsi" w:hAnsiTheme="majorHAnsi" w:cstheme="majorHAnsi"/>
                <w:i/>
                <w:iCs/>
                <w:color w:val="0070C0"/>
                <w:u w:val="single"/>
              </w:rPr>
              <w:t>« </w:t>
            </w:r>
            <w:hyperlink r:id="rId23" w:history="1">
              <w:r w:rsidRPr="00542645">
                <w:rPr>
                  <w:rStyle w:val="Lienhypertexte"/>
                  <w:rFonts w:asciiTheme="majorHAnsi" w:hAnsiTheme="majorHAnsi" w:cstheme="majorHAnsi"/>
                  <w:i/>
                  <w:iCs/>
                  <w:color w:val="0070C0"/>
                </w:rPr>
                <w:t>Un Nutri-Score C, c’est bon ou mauvais </w:t>
              </w:r>
            </w:hyperlink>
            <w:r w:rsidRPr="00542645">
              <w:rPr>
                <w:rFonts w:asciiTheme="majorHAnsi" w:hAnsiTheme="majorHAnsi" w:cstheme="majorHAnsi"/>
                <w:i/>
                <w:iCs/>
                <w:color w:val="0070C0"/>
                <w:u w:val="single"/>
              </w:rPr>
              <w:t>? »</w:t>
            </w:r>
          </w:p>
          <w:p w:rsidR="00AA05C0" w:rsidRPr="00542645" w:rsidRDefault="00AA05C0" w:rsidP="00AA05C0">
            <w:pPr>
              <w:rPr>
                <w:rFonts w:asciiTheme="majorHAnsi" w:hAnsiTheme="majorHAnsi" w:cstheme="majorHAnsi"/>
                <w:color w:val="0070C0"/>
                <w:u w:val="single"/>
              </w:rPr>
            </w:pPr>
            <w:r w:rsidRPr="00542645">
              <w:rPr>
                <w:rFonts w:asciiTheme="majorHAnsi" w:hAnsiTheme="majorHAnsi" w:cstheme="majorHAnsi"/>
                <w:i/>
                <w:iCs/>
                <w:color w:val="0070C0"/>
                <w:u w:val="single"/>
              </w:rPr>
              <w:t>« </w:t>
            </w:r>
            <w:hyperlink r:id="rId24" w:history="1">
              <w:r w:rsidRPr="00542645">
                <w:rPr>
                  <w:rStyle w:val="Lienhypertexte"/>
                  <w:rFonts w:asciiTheme="majorHAnsi" w:hAnsiTheme="majorHAnsi" w:cstheme="majorHAnsi"/>
                  <w:i/>
                  <w:iCs/>
                  <w:color w:val="0070C0"/>
                </w:rPr>
                <w:t>Le Nutri-Score prend-il en compte les additifs </w:t>
              </w:r>
            </w:hyperlink>
            <w:r w:rsidRPr="00542645">
              <w:rPr>
                <w:rFonts w:asciiTheme="majorHAnsi" w:hAnsiTheme="majorHAnsi" w:cstheme="majorHAnsi"/>
                <w:i/>
                <w:iCs/>
                <w:color w:val="0070C0"/>
                <w:u w:val="single"/>
              </w:rPr>
              <w:t>? »</w:t>
            </w:r>
          </w:p>
          <w:p w:rsidR="00AA05C0" w:rsidRPr="001E29F1" w:rsidRDefault="00AA05C0" w:rsidP="00AA05C0">
            <w:pPr>
              <w:rPr>
                <w:rFonts w:asciiTheme="majorHAnsi" w:hAnsiTheme="majorHAnsi" w:cstheme="majorHAnsi"/>
              </w:rPr>
            </w:pPr>
          </w:p>
        </w:tc>
      </w:tr>
    </w:tbl>
    <w:p w:rsidR="00FB6E53" w:rsidRDefault="00FB6E53">
      <w:r>
        <w:br w:type="page"/>
      </w:r>
    </w:p>
    <w:tbl>
      <w:tblPr>
        <w:tblStyle w:val="Grilledutableau"/>
        <w:tblW w:w="0" w:type="auto"/>
        <w:tblLook w:val="04A0" w:firstRow="1" w:lastRow="0" w:firstColumn="1" w:lastColumn="0" w:noHBand="0" w:noVBand="1"/>
      </w:tblPr>
      <w:tblGrid>
        <w:gridCol w:w="2830"/>
        <w:gridCol w:w="3815"/>
        <w:gridCol w:w="3323"/>
      </w:tblGrid>
      <w:tr w:rsidR="00FB6E53" w:rsidTr="00111B7D">
        <w:tc>
          <w:tcPr>
            <w:tcW w:w="2830" w:type="dxa"/>
            <w:shd w:val="clear" w:color="auto" w:fill="DEEAF6" w:themeFill="accent1" w:themeFillTint="33"/>
          </w:tcPr>
          <w:p w:rsidR="00FB6E53" w:rsidRPr="00535AFD" w:rsidRDefault="00FB6E53" w:rsidP="00FB6E53">
            <w:pPr>
              <w:jc w:val="center"/>
              <w:rPr>
                <w:rFonts w:asciiTheme="majorHAnsi" w:hAnsiTheme="majorHAnsi" w:cstheme="majorHAnsi"/>
                <w:b/>
              </w:rPr>
            </w:pPr>
            <w:r w:rsidRPr="00535AFD">
              <w:rPr>
                <w:rFonts w:asciiTheme="majorHAnsi" w:hAnsiTheme="majorHAnsi" w:cstheme="majorHAnsi"/>
                <w:b/>
              </w:rPr>
              <w:lastRenderedPageBreak/>
              <w:t>Actions/Outils</w:t>
            </w:r>
          </w:p>
        </w:tc>
        <w:tc>
          <w:tcPr>
            <w:tcW w:w="3815" w:type="dxa"/>
            <w:shd w:val="clear" w:color="auto" w:fill="DEEAF6" w:themeFill="accent1" w:themeFillTint="33"/>
          </w:tcPr>
          <w:p w:rsidR="00FB6E53" w:rsidRPr="00535AFD" w:rsidRDefault="00FB6E53" w:rsidP="00FB6E53">
            <w:pPr>
              <w:jc w:val="center"/>
              <w:rPr>
                <w:rFonts w:asciiTheme="majorHAnsi" w:hAnsiTheme="majorHAnsi" w:cstheme="majorHAnsi"/>
                <w:b/>
              </w:rPr>
            </w:pPr>
            <w:r w:rsidRPr="00535AFD">
              <w:rPr>
                <w:rFonts w:asciiTheme="majorHAnsi" w:hAnsiTheme="majorHAnsi" w:cstheme="majorHAnsi"/>
                <w:b/>
              </w:rPr>
              <w:t>Descriptif</w:t>
            </w:r>
          </w:p>
        </w:tc>
        <w:tc>
          <w:tcPr>
            <w:tcW w:w="3323" w:type="dxa"/>
            <w:shd w:val="clear" w:color="auto" w:fill="DEEAF6" w:themeFill="accent1" w:themeFillTint="33"/>
          </w:tcPr>
          <w:p w:rsidR="00FB6E53" w:rsidRPr="00535AFD" w:rsidRDefault="00FB6E53" w:rsidP="00FB6E53">
            <w:pPr>
              <w:jc w:val="center"/>
              <w:rPr>
                <w:rFonts w:asciiTheme="majorHAnsi" w:hAnsiTheme="majorHAnsi" w:cstheme="majorHAnsi"/>
                <w:b/>
              </w:rPr>
            </w:pPr>
            <w:r w:rsidRPr="00535AFD">
              <w:rPr>
                <w:rFonts w:asciiTheme="majorHAnsi" w:hAnsiTheme="majorHAnsi" w:cstheme="majorHAnsi"/>
                <w:b/>
              </w:rPr>
              <w:t>Informations pratiques</w:t>
            </w:r>
          </w:p>
        </w:tc>
      </w:tr>
      <w:tr w:rsidR="00FE36B5" w:rsidTr="00FE36B5">
        <w:trPr>
          <w:trHeight w:val="2684"/>
        </w:trPr>
        <w:tc>
          <w:tcPr>
            <w:tcW w:w="2830" w:type="dxa"/>
          </w:tcPr>
          <w:p w:rsidR="00FE36B5" w:rsidRPr="007234E8" w:rsidRDefault="00FE36B5" w:rsidP="00D11F0D">
            <w:pPr>
              <w:rPr>
                <w:rFonts w:asciiTheme="majorHAnsi" w:hAnsiTheme="majorHAnsi" w:cstheme="majorHAnsi"/>
                <w:b/>
              </w:rPr>
            </w:pPr>
            <w:r w:rsidRPr="007234E8">
              <w:rPr>
                <w:rFonts w:asciiTheme="majorHAnsi" w:hAnsiTheme="majorHAnsi" w:cstheme="majorHAnsi"/>
                <w:b/>
              </w:rPr>
              <w:t>Outil</w:t>
            </w:r>
          </w:p>
          <w:p w:rsidR="00FE36B5" w:rsidRPr="007234E8" w:rsidRDefault="00FE36B5" w:rsidP="00D11F0D">
            <w:pPr>
              <w:rPr>
                <w:rFonts w:asciiTheme="majorHAnsi" w:hAnsiTheme="majorHAnsi" w:cstheme="majorHAnsi"/>
              </w:rPr>
            </w:pPr>
            <w:r w:rsidRPr="007234E8">
              <w:rPr>
                <w:rFonts w:asciiTheme="majorHAnsi" w:hAnsiTheme="majorHAnsi" w:cstheme="majorHAnsi"/>
              </w:rPr>
              <w:t xml:space="preserve">Livret – « 50 astuces pour manger mieux et bouger plus » </w:t>
            </w:r>
          </w:p>
          <w:p w:rsidR="00FE36B5" w:rsidRPr="007234E8" w:rsidRDefault="00FE36B5" w:rsidP="00D11F0D">
            <w:pPr>
              <w:rPr>
                <w:rFonts w:asciiTheme="majorHAnsi" w:hAnsiTheme="majorHAnsi" w:cstheme="majorHAnsi"/>
                <w:i/>
              </w:rPr>
            </w:pPr>
            <w:r w:rsidRPr="007234E8">
              <w:rPr>
                <w:rFonts w:asciiTheme="majorHAnsi" w:hAnsiTheme="majorHAnsi" w:cstheme="majorHAnsi"/>
                <w:i/>
              </w:rPr>
              <w:t>Santé Publique France</w:t>
            </w:r>
          </w:p>
          <w:p w:rsidR="00FE36B5" w:rsidRPr="007234E8" w:rsidRDefault="00FE36B5" w:rsidP="00D11F0D">
            <w:pPr>
              <w:rPr>
                <w:rFonts w:asciiTheme="majorHAnsi" w:hAnsiTheme="majorHAnsi" w:cstheme="majorHAnsi"/>
                <w:i/>
              </w:rPr>
            </w:pPr>
          </w:p>
          <w:p w:rsidR="00FE36B5" w:rsidRPr="007234E8" w:rsidRDefault="00FE36B5" w:rsidP="00D11F0D">
            <w:pPr>
              <w:rPr>
                <w:rFonts w:asciiTheme="majorHAnsi" w:hAnsiTheme="majorHAnsi" w:cstheme="majorHAnsi"/>
                <w:i/>
              </w:rPr>
            </w:pPr>
            <w:r w:rsidRPr="007234E8">
              <w:rPr>
                <w:rFonts w:asciiTheme="majorHAnsi" w:hAnsiTheme="majorHAnsi" w:cstheme="majorHAnsi"/>
                <w:i/>
                <w:noProof/>
              </w:rPr>
              <w:drawing>
                <wp:anchor distT="0" distB="0" distL="114300" distR="114300" simplePos="0" relativeHeight="251706368" behindDoc="0" locked="0" layoutInCell="1" allowOverlap="1" wp14:anchorId="6277FE41" wp14:editId="3061F475">
                  <wp:simplePos x="0" y="0"/>
                  <wp:positionH relativeFrom="column">
                    <wp:posOffset>263525</wp:posOffset>
                  </wp:positionH>
                  <wp:positionV relativeFrom="paragraph">
                    <wp:posOffset>13970</wp:posOffset>
                  </wp:positionV>
                  <wp:extent cx="1028700" cy="1477645"/>
                  <wp:effectExtent l="0" t="0" r="0" b="8255"/>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28700" cy="1477645"/>
                          </a:xfrm>
                          <a:prstGeom prst="rect">
                            <a:avLst/>
                          </a:prstGeom>
                        </pic:spPr>
                      </pic:pic>
                    </a:graphicData>
                  </a:graphic>
                  <wp14:sizeRelH relativeFrom="margin">
                    <wp14:pctWidth>0</wp14:pctWidth>
                  </wp14:sizeRelH>
                  <wp14:sizeRelV relativeFrom="margin">
                    <wp14:pctHeight>0</wp14:pctHeight>
                  </wp14:sizeRelV>
                </wp:anchor>
              </w:drawing>
            </w:r>
          </w:p>
        </w:tc>
        <w:tc>
          <w:tcPr>
            <w:tcW w:w="3815" w:type="dxa"/>
          </w:tcPr>
          <w:p w:rsidR="00FE36B5" w:rsidRPr="007234E8" w:rsidRDefault="00FE36B5" w:rsidP="00D11F0D">
            <w:pPr>
              <w:jc w:val="both"/>
              <w:rPr>
                <w:rFonts w:asciiTheme="majorHAnsi" w:hAnsiTheme="majorHAnsi" w:cstheme="majorHAnsi"/>
              </w:rPr>
            </w:pPr>
            <w:r w:rsidRPr="007234E8">
              <w:rPr>
                <w:rFonts w:asciiTheme="majorHAnsi" w:hAnsiTheme="majorHAnsi" w:cstheme="majorHAnsi"/>
              </w:rPr>
              <w:t>Ce livret a pour objectif d’accompagner les français dans leur quotidien pour adopter de bonnes pratiques en nutrition. Le livret contient 50 idées pour mieux équilibrer son mode de vie. Il propose diverses astuces simples à appliquer à son quotidien pour améliorer petit pas par petit pas ses habitudes. Ses astuces sont déclinées en 8 catégories : le petit-déjeuner, le déjeuner et le dîner, les petits creux et l’apéritif, les portions, les courses, comment gagner du temps en cuisine, comment manger sans se ruiner, comment bouger plus au quotidien. Ce livret rappelle les recommandations du PNNS mais en les mettant face à des astuces sur comment les appliquer à la maison. Elles semblent ainsi plus accessibles pour le lecteur.</w:t>
            </w:r>
          </w:p>
        </w:tc>
        <w:tc>
          <w:tcPr>
            <w:tcW w:w="3323" w:type="dxa"/>
          </w:tcPr>
          <w:p w:rsidR="00FE36B5" w:rsidRDefault="00FE36B5" w:rsidP="00D11F0D">
            <w:pPr>
              <w:rPr>
                <w:rFonts w:asciiTheme="majorHAnsi" w:hAnsiTheme="majorHAnsi" w:cstheme="majorHAnsi"/>
              </w:rPr>
            </w:pPr>
          </w:p>
          <w:p w:rsidR="00FE36B5" w:rsidRDefault="00FE36B5" w:rsidP="00D11F0D">
            <w:pPr>
              <w:rPr>
                <w:rFonts w:asciiTheme="majorHAnsi" w:hAnsiTheme="majorHAnsi" w:cstheme="majorHAnsi"/>
              </w:rPr>
            </w:pPr>
          </w:p>
          <w:p w:rsidR="00FE36B5" w:rsidRDefault="00FE36B5" w:rsidP="00D11F0D">
            <w:pPr>
              <w:rPr>
                <w:rFonts w:asciiTheme="majorHAnsi" w:hAnsiTheme="majorHAnsi" w:cstheme="majorHAnsi"/>
                <w:color w:val="0563C1" w:themeColor="hyperlink"/>
                <w:u w:val="single"/>
              </w:rPr>
            </w:pPr>
            <w:r w:rsidRPr="007234E8">
              <w:rPr>
                <w:rFonts w:asciiTheme="majorHAnsi" w:hAnsiTheme="majorHAnsi" w:cstheme="majorHAnsi"/>
              </w:rPr>
              <w:t xml:space="preserve">Livret téléchargeable gratuitement sur le site : </w:t>
            </w:r>
            <w:hyperlink r:id="rId26" w:history="1">
              <w:r w:rsidRPr="007234E8">
                <w:rPr>
                  <w:rFonts w:asciiTheme="majorHAnsi" w:hAnsiTheme="majorHAnsi" w:cstheme="majorHAnsi"/>
                  <w:color w:val="0563C1" w:themeColor="hyperlink"/>
                  <w:u w:val="single"/>
                </w:rPr>
                <w:t>www.mangerbouger.fr</w:t>
              </w:r>
            </w:hyperlink>
          </w:p>
          <w:p w:rsidR="00FE36B5" w:rsidRDefault="00FE36B5" w:rsidP="00D11F0D">
            <w:pPr>
              <w:rPr>
                <w:rFonts w:asciiTheme="majorHAnsi" w:hAnsiTheme="majorHAnsi" w:cstheme="majorHAnsi"/>
                <w:color w:val="0563C1" w:themeColor="hyperlink"/>
                <w:u w:val="single"/>
              </w:rPr>
            </w:pPr>
          </w:p>
          <w:p w:rsidR="00FE36B5" w:rsidRPr="007234E8" w:rsidRDefault="00FE36B5" w:rsidP="00D11F0D">
            <w:pPr>
              <w:rPr>
                <w:rFonts w:asciiTheme="majorHAnsi" w:hAnsiTheme="majorHAnsi" w:cstheme="majorHAnsi"/>
              </w:rPr>
            </w:pPr>
            <w:r w:rsidRPr="007234E8">
              <w:rPr>
                <w:rFonts w:asciiTheme="majorHAnsi" w:hAnsiTheme="majorHAnsi" w:cstheme="majorHAnsi"/>
              </w:rPr>
              <w:t xml:space="preserve">Quelques exemplaires </w:t>
            </w:r>
            <w:r>
              <w:rPr>
                <w:rFonts w:asciiTheme="majorHAnsi" w:hAnsiTheme="majorHAnsi" w:cstheme="majorHAnsi"/>
              </w:rPr>
              <w:t>édités/reliés sont disponibles à l’ARS sur demande</w:t>
            </w:r>
          </w:p>
          <w:p w:rsidR="00FE36B5" w:rsidRPr="007234E8" w:rsidRDefault="00FE36B5" w:rsidP="00D11F0D">
            <w:pPr>
              <w:rPr>
                <w:rFonts w:asciiTheme="majorHAnsi" w:hAnsiTheme="majorHAnsi" w:cstheme="majorHAnsi"/>
              </w:rPr>
            </w:pPr>
          </w:p>
        </w:tc>
      </w:tr>
      <w:tr w:rsidR="00FB6E53" w:rsidTr="00111B7D">
        <w:tc>
          <w:tcPr>
            <w:tcW w:w="2830" w:type="dxa"/>
            <w:vAlign w:val="center"/>
          </w:tcPr>
          <w:p w:rsidR="00FB6E53" w:rsidRPr="007234E8" w:rsidRDefault="00FB6E53" w:rsidP="00FB6E53">
            <w:pPr>
              <w:rPr>
                <w:rFonts w:asciiTheme="majorHAnsi" w:hAnsiTheme="majorHAnsi" w:cstheme="majorHAnsi"/>
                <w:b/>
              </w:rPr>
            </w:pPr>
            <w:r w:rsidRPr="007234E8">
              <w:rPr>
                <w:rFonts w:asciiTheme="majorHAnsi" w:hAnsiTheme="majorHAnsi" w:cstheme="majorHAnsi"/>
                <w:b/>
              </w:rPr>
              <w:t>Outil</w:t>
            </w:r>
          </w:p>
          <w:p w:rsidR="00FB6E53" w:rsidRPr="007234E8" w:rsidRDefault="00FB6E53" w:rsidP="00FB6E53">
            <w:pPr>
              <w:rPr>
                <w:rFonts w:asciiTheme="majorHAnsi" w:hAnsiTheme="majorHAnsi" w:cstheme="majorHAnsi"/>
              </w:rPr>
            </w:pPr>
            <w:r w:rsidRPr="007234E8">
              <w:rPr>
                <w:rFonts w:asciiTheme="majorHAnsi" w:hAnsiTheme="majorHAnsi" w:cstheme="majorHAnsi"/>
              </w:rPr>
              <w:t>Affiche – « Recommandations PNNS »</w:t>
            </w:r>
          </w:p>
          <w:p w:rsidR="00FB6E53" w:rsidRPr="007234E8" w:rsidRDefault="00FB6E53" w:rsidP="00FB6E53">
            <w:pPr>
              <w:rPr>
                <w:rFonts w:asciiTheme="majorHAnsi" w:hAnsiTheme="majorHAnsi" w:cstheme="majorHAnsi"/>
                <w:i/>
              </w:rPr>
            </w:pPr>
            <w:r w:rsidRPr="007234E8">
              <w:rPr>
                <w:rFonts w:asciiTheme="majorHAnsi" w:hAnsiTheme="majorHAnsi" w:cstheme="majorHAnsi"/>
                <w:i/>
              </w:rPr>
              <w:t>Santé Publique France</w:t>
            </w:r>
          </w:p>
          <w:p w:rsidR="00FB6E53" w:rsidRPr="007234E8" w:rsidRDefault="00FB6E53" w:rsidP="00FB6E53">
            <w:pPr>
              <w:rPr>
                <w:rFonts w:asciiTheme="majorHAnsi" w:hAnsiTheme="majorHAnsi" w:cstheme="majorHAnsi"/>
                <w:i/>
              </w:rPr>
            </w:pPr>
            <w:r w:rsidRPr="007234E8">
              <w:rPr>
                <w:rFonts w:asciiTheme="majorHAnsi" w:hAnsiTheme="majorHAnsi" w:cstheme="majorHAnsi"/>
                <w:i/>
                <w:noProof/>
              </w:rPr>
              <w:drawing>
                <wp:anchor distT="0" distB="0" distL="114300" distR="114300" simplePos="0" relativeHeight="251694080" behindDoc="0" locked="0" layoutInCell="1" allowOverlap="1" wp14:anchorId="36223994" wp14:editId="5A07C2BF">
                  <wp:simplePos x="0" y="0"/>
                  <wp:positionH relativeFrom="column">
                    <wp:posOffset>154559</wp:posOffset>
                  </wp:positionH>
                  <wp:positionV relativeFrom="paragraph">
                    <wp:posOffset>112446</wp:posOffset>
                  </wp:positionV>
                  <wp:extent cx="1048385" cy="1579880"/>
                  <wp:effectExtent l="0" t="0" r="0" b="1270"/>
                  <wp:wrapSquare wrapText="bothSides"/>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fiche_miniatur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8385" cy="1579880"/>
                          </a:xfrm>
                          <a:prstGeom prst="rect">
                            <a:avLst/>
                          </a:prstGeom>
                        </pic:spPr>
                      </pic:pic>
                    </a:graphicData>
                  </a:graphic>
                  <wp14:sizeRelH relativeFrom="margin">
                    <wp14:pctWidth>0</wp14:pctWidth>
                  </wp14:sizeRelH>
                  <wp14:sizeRelV relativeFrom="margin">
                    <wp14:pctHeight>0</wp14:pctHeight>
                  </wp14:sizeRelV>
                </wp:anchor>
              </w:drawing>
            </w: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p w:rsidR="00FB6E53" w:rsidRPr="007234E8" w:rsidRDefault="00FB6E53" w:rsidP="00FB6E53">
            <w:pPr>
              <w:rPr>
                <w:rFonts w:asciiTheme="majorHAnsi" w:hAnsiTheme="majorHAnsi" w:cstheme="majorHAnsi"/>
                <w:i/>
              </w:rPr>
            </w:pPr>
          </w:p>
        </w:tc>
        <w:tc>
          <w:tcPr>
            <w:tcW w:w="3815" w:type="dxa"/>
            <w:vAlign w:val="center"/>
          </w:tcPr>
          <w:p w:rsidR="00FB6E53" w:rsidRPr="007234E8" w:rsidRDefault="00FB6E53" w:rsidP="00111B7D">
            <w:pPr>
              <w:jc w:val="both"/>
              <w:rPr>
                <w:rFonts w:asciiTheme="majorHAnsi" w:hAnsiTheme="majorHAnsi" w:cstheme="majorHAnsi"/>
              </w:rPr>
            </w:pPr>
            <w:r w:rsidRPr="007234E8">
              <w:rPr>
                <w:rFonts w:asciiTheme="majorHAnsi" w:hAnsiTheme="majorHAnsi" w:cstheme="majorHAnsi"/>
              </w:rPr>
              <w:t>Cette affiche a pour objectif de synthétiser visuellement les recommandations du PNNS4 et de montrer que faire évoluer ses habitudes est accessible. L’affiche se compose de 3 parties qui représentent l’organisation des recommandations choisies par le PNNS4. Il n’est pas à ce niveau question de quantité de consommation ou de pratique mais d’abord d’une intention d’augmenter, d’aller vers ou de réduire certains groupes alimentaires ou pratiques. Cela permet de les rendre plus accessibles et de proposer un premier niveau de connaissances facilement mémorisables.</w:t>
            </w:r>
          </w:p>
        </w:tc>
        <w:tc>
          <w:tcPr>
            <w:tcW w:w="3323" w:type="dxa"/>
            <w:vAlign w:val="center"/>
          </w:tcPr>
          <w:p w:rsidR="00FB6E53" w:rsidRPr="007234E8" w:rsidRDefault="00FB6E53" w:rsidP="00FB6E53">
            <w:pPr>
              <w:rPr>
                <w:rFonts w:asciiTheme="majorHAnsi" w:hAnsiTheme="majorHAnsi" w:cstheme="majorHAnsi"/>
              </w:rPr>
            </w:pPr>
            <w:r w:rsidRPr="007234E8">
              <w:rPr>
                <w:rFonts w:asciiTheme="majorHAnsi" w:hAnsiTheme="majorHAnsi" w:cstheme="majorHAnsi"/>
              </w:rPr>
              <w:t xml:space="preserve">Affiche téléchargeable gratuitement sur le site : </w:t>
            </w:r>
            <w:hyperlink r:id="rId28" w:history="1">
              <w:r w:rsidRPr="007234E8">
                <w:rPr>
                  <w:rFonts w:asciiTheme="majorHAnsi" w:hAnsiTheme="majorHAnsi" w:cstheme="majorHAnsi"/>
                  <w:color w:val="0563C1" w:themeColor="hyperlink"/>
                  <w:u w:val="single"/>
                </w:rPr>
                <w:t>www.mangerbouger.fr</w:t>
              </w:r>
            </w:hyperlink>
          </w:p>
          <w:p w:rsidR="00FB6E53" w:rsidRPr="007234E8" w:rsidRDefault="00FB6E53" w:rsidP="00FB6E53">
            <w:pPr>
              <w:rPr>
                <w:rFonts w:asciiTheme="majorHAnsi" w:hAnsiTheme="majorHAnsi" w:cstheme="majorHAnsi"/>
              </w:rPr>
            </w:pPr>
          </w:p>
        </w:tc>
      </w:tr>
      <w:tr w:rsidR="00FB6E53" w:rsidTr="00111B7D">
        <w:tc>
          <w:tcPr>
            <w:tcW w:w="2830" w:type="dxa"/>
            <w:vAlign w:val="center"/>
          </w:tcPr>
          <w:p w:rsidR="00FB6E53" w:rsidRPr="007234E8" w:rsidRDefault="00FB6E53" w:rsidP="00FB6E53">
            <w:pPr>
              <w:rPr>
                <w:rFonts w:asciiTheme="majorHAnsi" w:hAnsiTheme="majorHAnsi" w:cstheme="majorHAnsi"/>
                <w:b/>
              </w:rPr>
            </w:pPr>
            <w:r w:rsidRPr="007234E8">
              <w:rPr>
                <w:rFonts w:asciiTheme="majorHAnsi" w:hAnsiTheme="majorHAnsi" w:cstheme="majorHAnsi"/>
                <w:b/>
              </w:rPr>
              <w:t>Outil</w:t>
            </w:r>
          </w:p>
          <w:p w:rsidR="00FB6E53" w:rsidRPr="007234E8" w:rsidRDefault="00FB6E53" w:rsidP="00FB6E53">
            <w:pPr>
              <w:rPr>
                <w:rFonts w:asciiTheme="majorHAnsi" w:hAnsiTheme="majorHAnsi" w:cstheme="majorHAnsi"/>
              </w:rPr>
            </w:pPr>
            <w:r w:rsidRPr="007234E8">
              <w:rPr>
                <w:rFonts w:asciiTheme="majorHAnsi" w:hAnsiTheme="majorHAnsi" w:cstheme="majorHAnsi"/>
              </w:rPr>
              <w:t xml:space="preserve">Site internet – « La fabrique à menus » </w:t>
            </w:r>
          </w:p>
          <w:p w:rsidR="00FB6E53" w:rsidRPr="007234E8" w:rsidRDefault="00FB6E53" w:rsidP="00FB6E53">
            <w:pPr>
              <w:rPr>
                <w:rFonts w:asciiTheme="majorHAnsi" w:hAnsiTheme="majorHAnsi" w:cstheme="majorHAnsi"/>
                <w:i/>
              </w:rPr>
            </w:pPr>
            <w:r w:rsidRPr="007234E8">
              <w:rPr>
                <w:rFonts w:asciiTheme="majorHAnsi" w:hAnsiTheme="majorHAnsi" w:cstheme="majorHAnsi"/>
                <w:i/>
              </w:rPr>
              <w:t>Santé Publique France</w:t>
            </w:r>
          </w:p>
          <w:p w:rsidR="00FB6E53" w:rsidRPr="007234E8" w:rsidRDefault="00FB6E53" w:rsidP="00FB6E53">
            <w:pPr>
              <w:rPr>
                <w:rFonts w:asciiTheme="majorHAnsi" w:hAnsiTheme="majorHAnsi" w:cstheme="majorHAnsi"/>
                <w:i/>
              </w:rPr>
            </w:pPr>
            <w:r w:rsidRPr="007234E8">
              <w:rPr>
                <w:rFonts w:asciiTheme="majorHAnsi" w:hAnsiTheme="majorHAnsi" w:cstheme="majorHAnsi"/>
                <w:i/>
                <w:noProof/>
              </w:rPr>
              <w:drawing>
                <wp:anchor distT="0" distB="0" distL="114300" distR="114300" simplePos="0" relativeHeight="251696128" behindDoc="0" locked="0" layoutInCell="1" allowOverlap="1" wp14:anchorId="5C510BCE" wp14:editId="2C3EC6E3">
                  <wp:simplePos x="0" y="0"/>
                  <wp:positionH relativeFrom="column">
                    <wp:posOffset>-20955</wp:posOffset>
                  </wp:positionH>
                  <wp:positionV relativeFrom="paragraph">
                    <wp:posOffset>71120</wp:posOffset>
                  </wp:positionV>
                  <wp:extent cx="1417955" cy="789940"/>
                  <wp:effectExtent l="0" t="0" r="0" b="0"/>
                  <wp:wrapSquare wrapText="bothSides"/>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rethis.jpg"/>
                          <pic:cNvPicPr/>
                        </pic:nvPicPr>
                        <pic:blipFill>
                          <a:blip r:embed="rId29">
                            <a:extLst>
                              <a:ext uri="{28A0092B-C50C-407E-A947-70E740481C1C}">
                                <a14:useLocalDpi xmlns:a14="http://schemas.microsoft.com/office/drawing/2010/main" val="0"/>
                              </a:ext>
                            </a:extLst>
                          </a:blip>
                          <a:stretch>
                            <a:fillRect/>
                          </a:stretch>
                        </pic:blipFill>
                        <pic:spPr>
                          <a:xfrm>
                            <a:off x="0" y="0"/>
                            <a:ext cx="1417955" cy="789940"/>
                          </a:xfrm>
                          <a:prstGeom prst="rect">
                            <a:avLst/>
                          </a:prstGeom>
                        </pic:spPr>
                      </pic:pic>
                    </a:graphicData>
                  </a:graphic>
                  <wp14:sizeRelH relativeFrom="margin">
                    <wp14:pctWidth>0</wp14:pctWidth>
                  </wp14:sizeRelH>
                  <wp14:sizeRelV relativeFrom="margin">
                    <wp14:pctHeight>0</wp14:pctHeight>
                  </wp14:sizeRelV>
                </wp:anchor>
              </w:drawing>
            </w:r>
          </w:p>
        </w:tc>
        <w:tc>
          <w:tcPr>
            <w:tcW w:w="3815" w:type="dxa"/>
            <w:vAlign w:val="center"/>
          </w:tcPr>
          <w:p w:rsidR="00FB6E53" w:rsidRPr="007234E8" w:rsidRDefault="00FB6E53" w:rsidP="00111B7D">
            <w:pPr>
              <w:jc w:val="both"/>
              <w:rPr>
                <w:rFonts w:asciiTheme="majorHAnsi" w:hAnsiTheme="majorHAnsi" w:cstheme="majorHAnsi"/>
              </w:rPr>
            </w:pPr>
            <w:r w:rsidRPr="007234E8">
              <w:rPr>
                <w:rFonts w:asciiTheme="majorHAnsi" w:hAnsiTheme="majorHAnsi" w:cstheme="majorHAnsi"/>
              </w:rPr>
              <w:t>Le site propose des menus de saison variés pour manger équilibré toute la semaine en accord avec les repères nutritionnels du PNNS</w:t>
            </w:r>
          </w:p>
        </w:tc>
        <w:tc>
          <w:tcPr>
            <w:tcW w:w="3323" w:type="dxa"/>
            <w:vAlign w:val="center"/>
          </w:tcPr>
          <w:p w:rsidR="00FB6E53" w:rsidRPr="007234E8" w:rsidRDefault="00FB6E53" w:rsidP="00FB6E53">
            <w:pPr>
              <w:rPr>
                <w:rFonts w:asciiTheme="majorHAnsi" w:hAnsiTheme="majorHAnsi" w:cstheme="majorHAnsi"/>
              </w:rPr>
            </w:pPr>
            <w:r w:rsidRPr="007234E8">
              <w:rPr>
                <w:rFonts w:asciiTheme="majorHAnsi" w:hAnsiTheme="majorHAnsi" w:cstheme="majorHAnsi"/>
              </w:rPr>
              <w:t xml:space="preserve">Librement accessible sur le site : </w:t>
            </w:r>
            <w:hyperlink r:id="rId30" w:history="1">
              <w:r w:rsidRPr="007234E8">
                <w:rPr>
                  <w:rFonts w:asciiTheme="majorHAnsi" w:hAnsiTheme="majorHAnsi" w:cstheme="majorHAnsi"/>
                  <w:color w:val="0563C1" w:themeColor="hyperlink"/>
                  <w:u w:val="single"/>
                </w:rPr>
                <w:t>www.mangerbouger.fr</w:t>
              </w:r>
            </w:hyperlink>
          </w:p>
          <w:p w:rsidR="00FB6E53" w:rsidRPr="007234E8" w:rsidRDefault="00FB6E53" w:rsidP="00FB6E53">
            <w:pPr>
              <w:rPr>
                <w:rFonts w:asciiTheme="majorHAnsi" w:hAnsiTheme="majorHAnsi" w:cstheme="majorHAnsi"/>
              </w:rPr>
            </w:pPr>
          </w:p>
          <w:p w:rsidR="00FB6E53" w:rsidRPr="007234E8" w:rsidRDefault="00FB6E53" w:rsidP="00FB6E53">
            <w:pPr>
              <w:rPr>
                <w:rFonts w:asciiTheme="majorHAnsi" w:hAnsiTheme="majorHAnsi" w:cstheme="majorHAnsi"/>
              </w:rPr>
            </w:pPr>
          </w:p>
        </w:tc>
      </w:tr>
    </w:tbl>
    <w:p w:rsidR="00FB6E53" w:rsidRDefault="00FB6E53"/>
    <w:p w:rsidR="00FE36B5" w:rsidRDefault="00FE36B5"/>
    <w:p w:rsidR="00FE36B5" w:rsidRDefault="00FE36B5"/>
    <w:p w:rsidR="00FE36B5" w:rsidRDefault="00FE36B5"/>
    <w:p w:rsidR="00FE36B5" w:rsidRDefault="00FE36B5"/>
    <w:tbl>
      <w:tblPr>
        <w:tblStyle w:val="Grilledutableau"/>
        <w:tblW w:w="0" w:type="auto"/>
        <w:tblLook w:val="04A0" w:firstRow="1" w:lastRow="0" w:firstColumn="1" w:lastColumn="0" w:noHBand="0" w:noVBand="1"/>
      </w:tblPr>
      <w:tblGrid>
        <w:gridCol w:w="2830"/>
        <w:gridCol w:w="3815"/>
        <w:gridCol w:w="3323"/>
      </w:tblGrid>
      <w:tr w:rsidR="00FE36B5" w:rsidTr="00D11F0D">
        <w:tc>
          <w:tcPr>
            <w:tcW w:w="2830" w:type="dxa"/>
            <w:shd w:val="clear" w:color="auto" w:fill="DEEAF6" w:themeFill="accent1" w:themeFillTint="33"/>
          </w:tcPr>
          <w:p w:rsidR="00FE36B5" w:rsidRPr="00535AFD" w:rsidRDefault="00FE36B5" w:rsidP="00D11F0D">
            <w:pPr>
              <w:jc w:val="center"/>
              <w:rPr>
                <w:rFonts w:asciiTheme="majorHAnsi" w:hAnsiTheme="majorHAnsi" w:cstheme="majorHAnsi"/>
                <w:b/>
              </w:rPr>
            </w:pPr>
            <w:r w:rsidRPr="00535AFD">
              <w:rPr>
                <w:rFonts w:asciiTheme="majorHAnsi" w:hAnsiTheme="majorHAnsi" w:cstheme="majorHAnsi"/>
                <w:b/>
              </w:rPr>
              <w:t>Actions/Outils</w:t>
            </w:r>
          </w:p>
        </w:tc>
        <w:tc>
          <w:tcPr>
            <w:tcW w:w="3815" w:type="dxa"/>
            <w:shd w:val="clear" w:color="auto" w:fill="DEEAF6" w:themeFill="accent1" w:themeFillTint="33"/>
          </w:tcPr>
          <w:p w:rsidR="00FE36B5" w:rsidRPr="00535AFD" w:rsidRDefault="00FE36B5" w:rsidP="00D11F0D">
            <w:pPr>
              <w:jc w:val="center"/>
              <w:rPr>
                <w:rFonts w:asciiTheme="majorHAnsi" w:hAnsiTheme="majorHAnsi" w:cstheme="majorHAnsi"/>
                <w:b/>
              </w:rPr>
            </w:pPr>
            <w:r w:rsidRPr="00535AFD">
              <w:rPr>
                <w:rFonts w:asciiTheme="majorHAnsi" w:hAnsiTheme="majorHAnsi" w:cstheme="majorHAnsi"/>
                <w:b/>
              </w:rPr>
              <w:t>Descriptif</w:t>
            </w:r>
          </w:p>
        </w:tc>
        <w:tc>
          <w:tcPr>
            <w:tcW w:w="3323" w:type="dxa"/>
            <w:shd w:val="clear" w:color="auto" w:fill="DEEAF6" w:themeFill="accent1" w:themeFillTint="33"/>
          </w:tcPr>
          <w:p w:rsidR="00FE36B5" w:rsidRPr="00535AFD" w:rsidRDefault="00FE36B5" w:rsidP="00D11F0D">
            <w:pPr>
              <w:jc w:val="center"/>
              <w:rPr>
                <w:rFonts w:asciiTheme="majorHAnsi" w:hAnsiTheme="majorHAnsi" w:cstheme="majorHAnsi"/>
                <w:b/>
              </w:rPr>
            </w:pPr>
            <w:r w:rsidRPr="00535AFD">
              <w:rPr>
                <w:rFonts w:asciiTheme="majorHAnsi" w:hAnsiTheme="majorHAnsi" w:cstheme="majorHAnsi"/>
                <w:b/>
              </w:rPr>
              <w:t>Informations pratiques</w:t>
            </w:r>
          </w:p>
        </w:tc>
      </w:tr>
      <w:tr w:rsidR="00FE36B5" w:rsidTr="00912FD1">
        <w:trPr>
          <w:trHeight w:val="2684"/>
        </w:trPr>
        <w:tc>
          <w:tcPr>
            <w:tcW w:w="2830" w:type="dxa"/>
            <w:vAlign w:val="center"/>
          </w:tcPr>
          <w:p w:rsidR="00FE36B5" w:rsidRPr="007234E8" w:rsidRDefault="00FE36B5" w:rsidP="00FE36B5">
            <w:pPr>
              <w:rPr>
                <w:rFonts w:asciiTheme="majorHAnsi" w:hAnsiTheme="majorHAnsi" w:cstheme="majorHAnsi"/>
                <w:b/>
              </w:rPr>
            </w:pPr>
            <w:r w:rsidRPr="007234E8">
              <w:rPr>
                <w:rFonts w:asciiTheme="majorHAnsi" w:hAnsiTheme="majorHAnsi" w:cstheme="majorHAnsi"/>
                <w:b/>
              </w:rPr>
              <w:lastRenderedPageBreak/>
              <w:t>Outil</w:t>
            </w:r>
          </w:p>
          <w:p w:rsidR="00FE36B5" w:rsidRPr="007234E8" w:rsidRDefault="00FE36B5" w:rsidP="00FE36B5">
            <w:pPr>
              <w:rPr>
                <w:rFonts w:asciiTheme="majorHAnsi" w:hAnsiTheme="majorHAnsi" w:cstheme="majorHAnsi"/>
              </w:rPr>
            </w:pPr>
            <w:r w:rsidRPr="007234E8">
              <w:rPr>
                <w:rFonts w:asciiTheme="majorHAnsi" w:hAnsiTheme="majorHAnsi" w:cstheme="majorHAnsi"/>
              </w:rPr>
              <w:t>Site internet – « Calendrier des saisonnalités des aliments »</w:t>
            </w:r>
          </w:p>
          <w:p w:rsidR="00FE36B5" w:rsidRPr="007234E8" w:rsidRDefault="00FE36B5" w:rsidP="00FE36B5">
            <w:pPr>
              <w:rPr>
                <w:rFonts w:asciiTheme="majorHAnsi" w:hAnsiTheme="majorHAnsi" w:cstheme="majorHAnsi"/>
                <w:i/>
              </w:rPr>
            </w:pPr>
            <w:r w:rsidRPr="007234E8">
              <w:rPr>
                <w:rFonts w:asciiTheme="majorHAnsi" w:hAnsiTheme="majorHAnsi" w:cstheme="majorHAnsi"/>
                <w:i/>
                <w:noProof/>
              </w:rPr>
              <w:drawing>
                <wp:anchor distT="0" distB="0" distL="114300" distR="114300" simplePos="0" relativeHeight="251708416" behindDoc="0" locked="0" layoutInCell="1" allowOverlap="1" wp14:anchorId="43A936EA" wp14:editId="4DAC7571">
                  <wp:simplePos x="0" y="0"/>
                  <wp:positionH relativeFrom="column">
                    <wp:posOffset>-64770</wp:posOffset>
                  </wp:positionH>
                  <wp:positionV relativeFrom="paragraph">
                    <wp:posOffset>301625</wp:posOffset>
                  </wp:positionV>
                  <wp:extent cx="1583690" cy="1133475"/>
                  <wp:effectExtent l="0" t="0" r="0" b="9525"/>
                  <wp:wrapSquare wrapText="bothSides"/>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notation 2021-06-07 10051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83690" cy="1133475"/>
                          </a:xfrm>
                          <a:prstGeom prst="rect">
                            <a:avLst/>
                          </a:prstGeom>
                        </pic:spPr>
                      </pic:pic>
                    </a:graphicData>
                  </a:graphic>
                  <wp14:sizeRelH relativeFrom="margin">
                    <wp14:pctWidth>0</wp14:pctWidth>
                  </wp14:sizeRelH>
                  <wp14:sizeRelV relativeFrom="margin">
                    <wp14:pctHeight>0</wp14:pctHeight>
                  </wp14:sizeRelV>
                </wp:anchor>
              </w:drawing>
            </w:r>
            <w:r w:rsidRPr="007234E8">
              <w:rPr>
                <w:rFonts w:asciiTheme="majorHAnsi" w:hAnsiTheme="majorHAnsi" w:cstheme="majorHAnsi"/>
                <w:i/>
              </w:rPr>
              <w:t>Santé Publique France</w:t>
            </w:r>
          </w:p>
          <w:p w:rsidR="00FE36B5" w:rsidRPr="007234E8" w:rsidRDefault="00FE36B5" w:rsidP="00FE36B5">
            <w:pPr>
              <w:rPr>
                <w:rFonts w:asciiTheme="majorHAnsi" w:hAnsiTheme="majorHAnsi" w:cstheme="majorHAnsi"/>
                <w:i/>
              </w:rPr>
            </w:pPr>
          </w:p>
          <w:p w:rsidR="00FE36B5" w:rsidRPr="007234E8" w:rsidRDefault="00FE36B5" w:rsidP="00FE36B5">
            <w:pPr>
              <w:rPr>
                <w:rFonts w:asciiTheme="majorHAnsi" w:hAnsiTheme="majorHAnsi" w:cstheme="majorHAnsi"/>
                <w:i/>
              </w:rPr>
            </w:pPr>
          </w:p>
        </w:tc>
        <w:tc>
          <w:tcPr>
            <w:tcW w:w="3815" w:type="dxa"/>
            <w:vAlign w:val="center"/>
          </w:tcPr>
          <w:p w:rsidR="00FE36B5" w:rsidRPr="007234E8" w:rsidRDefault="00FE36B5" w:rsidP="00FE36B5">
            <w:pPr>
              <w:jc w:val="both"/>
              <w:rPr>
                <w:rFonts w:asciiTheme="majorHAnsi" w:hAnsiTheme="majorHAnsi" w:cstheme="majorHAnsi"/>
              </w:rPr>
            </w:pPr>
            <w:r w:rsidRPr="007234E8">
              <w:rPr>
                <w:rFonts w:asciiTheme="majorHAnsi" w:hAnsiTheme="majorHAnsi" w:cstheme="majorHAnsi"/>
              </w:rPr>
              <w:t>Ce document a pour objectif d’aiguiller les consommateurs pour acheter des produits adaptés à la maison. Les fiches présentent par saison printemps, été, automne, hiver, les fruits et légumes de saison. La même chose est proposée pour les fromages, les poissons et les fruits de mer.</w:t>
            </w:r>
          </w:p>
        </w:tc>
        <w:tc>
          <w:tcPr>
            <w:tcW w:w="3323" w:type="dxa"/>
            <w:vAlign w:val="center"/>
          </w:tcPr>
          <w:p w:rsidR="00FE36B5" w:rsidRPr="007234E8" w:rsidRDefault="00FE36B5" w:rsidP="00FE36B5">
            <w:pPr>
              <w:rPr>
                <w:rFonts w:asciiTheme="majorHAnsi" w:hAnsiTheme="majorHAnsi" w:cstheme="majorHAnsi"/>
              </w:rPr>
            </w:pPr>
            <w:r w:rsidRPr="007234E8">
              <w:rPr>
                <w:rFonts w:asciiTheme="majorHAnsi" w:hAnsiTheme="majorHAnsi" w:cstheme="majorHAnsi"/>
              </w:rPr>
              <w:t xml:space="preserve">Calendrier téléchargeable gratuitement sur le site : </w:t>
            </w:r>
            <w:hyperlink r:id="rId32" w:history="1">
              <w:r w:rsidRPr="007234E8">
                <w:rPr>
                  <w:rFonts w:asciiTheme="majorHAnsi" w:hAnsiTheme="majorHAnsi" w:cstheme="majorHAnsi"/>
                  <w:color w:val="0563C1" w:themeColor="hyperlink"/>
                  <w:u w:val="single"/>
                </w:rPr>
                <w:t>www.mangerbouger.fr</w:t>
              </w:r>
            </w:hyperlink>
          </w:p>
          <w:p w:rsidR="00FE36B5" w:rsidRPr="007234E8" w:rsidRDefault="00FE36B5" w:rsidP="00FE36B5">
            <w:pPr>
              <w:rPr>
                <w:rFonts w:asciiTheme="majorHAnsi" w:hAnsiTheme="majorHAnsi" w:cstheme="majorHAnsi"/>
              </w:rPr>
            </w:pPr>
          </w:p>
        </w:tc>
      </w:tr>
    </w:tbl>
    <w:p w:rsidR="00FE36B5" w:rsidRDefault="00FE36B5"/>
    <w:sectPr w:rsidR="00FE36B5" w:rsidSect="001C0EC1">
      <w:footerReference w:type="default" r:id="rId33"/>
      <w:pgSz w:w="11906" w:h="16838"/>
      <w:pgMar w:top="851" w:right="964" w:bottom="964" w:left="964"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C0F" w:rsidRDefault="00253C0F" w:rsidP="002D02FE">
      <w:pPr>
        <w:spacing w:after="0" w:line="240" w:lineRule="auto"/>
      </w:pPr>
      <w:r>
        <w:separator/>
      </w:r>
    </w:p>
  </w:endnote>
  <w:endnote w:type="continuationSeparator" w:id="0">
    <w:p w:rsidR="00253C0F" w:rsidRDefault="00253C0F" w:rsidP="002D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512451"/>
      <w:docPartObj>
        <w:docPartGallery w:val="Page Numbers (Bottom of Page)"/>
        <w:docPartUnique/>
      </w:docPartObj>
    </w:sdtPr>
    <w:sdtEndPr/>
    <w:sdtContent>
      <w:sdt>
        <w:sdtPr>
          <w:id w:val="-1769616900"/>
          <w:docPartObj>
            <w:docPartGallery w:val="Page Numbers (Top of Page)"/>
            <w:docPartUnique/>
          </w:docPartObj>
        </w:sdtPr>
        <w:sdtEndPr/>
        <w:sdtContent>
          <w:p w:rsidR="001F19AA" w:rsidRDefault="001F19AA" w:rsidP="001F19AA">
            <w:pPr>
              <w:pStyle w:val="Pieddepage"/>
              <w:rPr>
                <w:rFonts w:ascii="Marianne" w:hAnsi="Marianne"/>
                <w:sz w:val="16"/>
              </w:rPr>
            </w:pPr>
            <w:r>
              <w:rPr>
                <w:rFonts w:ascii="Marianne" w:hAnsi="Marianne"/>
                <w:sz w:val="16"/>
              </w:rPr>
              <w:t>6, Place des Colombes</w:t>
            </w:r>
          </w:p>
          <w:p w:rsidR="001F19AA" w:rsidRDefault="001F19AA" w:rsidP="001F19AA">
            <w:pPr>
              <w:pStyle w:val="Pieddepage"/>
              <w:rPr>
                <w:rFonts w:ascii="Marianne" w:hAnsi="Marianne"/>
                <w:sz w:val="16"/>
              </w:rPr>
            </w:pPr>
            <w:r>
              <w:rPr>
                <w:rFonts w:ascii="Marianne" w:hAnsi="Marianne"/>
                <w:sz w:val="16"/>
              </w:rPr>
              <w:t xml:space="preserve">CS 14253 - </w:t>
            </w:r>
            <w:r w:rsidRPr="00FB2B3C">
              <w:rPr>
                <w:rFonts w:ascii="Marianne" w:hAnsi="Marianne"/>
                <w:sz w:val="16"/>
              </w:rPr>
              <w:t>35 000 Rennes Cedex</w:t>
            </w:r>
          </w:p>
          <w:p w:rsidR="001F19AA" w:rsidRDefault="001F19AA" w:rsidP="001F19AA">
            <w:pPr>
              <w:pStyle w:val="Pieddepage"/>
              <w:rPr>
                <w:rFonts w:ascii="Marianne" w:hAnsi="Marianne"/>
                <w:sz w:val="16"/>
              </w:rPr>
            </w:pPr>
            <w:r w:rsidRPr="00FB2B3C">
              <w:rPr>
                <w:rFonts w:ascii="Marianne" w:hAnsi="Marianne"/>
                <w:sz w:val="16"/>
              </w:rPr>
              <w:t>Tél : 02.90.08.80.</w:t>
            </w:r>
            <w:r>
              <w:rPr>
                <w:rFonts w:ascii="Marianne" w:hAnsi="Marianne"/>
                <w:sz w:val="16"/>
              </w:rPr>
              <w:t xml:space="preserve">00 – </w:t>
            </w:r>
            <w:hyperlink r:id="rId1" w:history="1">
              <w:r w:rsidRPr="00A562F9">
                <w:rPr>
                  <w:rStyle w:val="Lienhypertexte"/>
                  <w:rFonts w:ascii="Marianne" w:hAnsi="Marianne"/>
                  <w:sz w:val="16"/>
                </w:rPr>
                <w:t>ars-bretagne-pps-aap@ars.sante.fr</w:t>
              </w:r>
            </w:hyperlink>
            <w:r>
              <w:rPr>
                <w:rFonts w:ascii="Marianne" w:hAnsi="Marianne"/>
                <w:sz w:val="16"/>
              </w:rPr>
              <w:t xml:space="preserve"> </w:t>
            </w:r>
          </w:p>
          <w:p w:rsidR="001F19AA" w:rsidRPr="00C666FD" w:rsidRDefault="006D3790" w:rsidP="001F19AA">
            <w:pPr>
              <w:pStyle w:val="Pieddepage"/>
            </w:pPr>
            <w:hyperlink r:id="rId2" w:history="1">
              <w:r w:rsidR="001F19AA" w:rsidRPr="007271BE">
                <w:rPr>
                  <w:rStyle w:val="Lienhypertexte"/>
                  <w:rFonts w:ascii="Marianne" w:hAnsi="Marianne"/>
                  <w:sz w:val="16"/>
                  <w:szCs w:val="16"/>
                </w:rPr>
                <w:t>www.ars.bretagne.sante.fr</w:t>
              </w:r>
            </w:hyperlink>
          </w:p>
          <w:p w:rsidR="001F19AA" w:rsidRDefault="001F19AA" w:rsidP="001F19AA">
            <w:pPr>
              <w:pStyle w:val="Pieddepage"/>
              <w:jc w:val="right"/>
            </w:pPr>
            <w:r w:rsidRPr="000276E3">
              <w:rPr>
                <w:rFonts w:ascii="Marianne" w:hAnsi="Marianne"/>
                <w:noProof/>
                <w:sz w:val="16"/>
                <w:szCs w:val="16"/>
                <w:lang w:eastAsia="fr-FR"/>
              </w:rPr>
              <w:drawing>
                <wp:anchor distT="0" distB="0" distL="114300" distR="114300" simplePos="0" relativeHeight="251661312" behindDoc="0" locked="0" layoutInCell="1" allowOverlap="1" wp14:anchorId="35125206" wp14:editId="1AE17784">
                  <wp:simplePos x="0" y="0"/>
                  <wp:positionH relativeFrom="column">
                    <wp:posOffset>1626235</wp:posOffset>
                  </wp:positionH>
                  <wp:positionV relativeFrom="paragraph">
                    <wp:posOffset>33655</wp:posOffset>
                  </wp:positionV>
                  <wp:extent cx="123825" cy="123825"/>
                  <wp:effectExtent l="0" t="0" r="9525" b="9525"/>
                  <wp:wrapNone/>
                  <wp:docPr id="62" name="Image 62"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tilisateurs\cdavalis\Pictures\index.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Fonts w:ascii="Marianne" w:hAnsi="Marianne"/>
                <w:noProof/>
                <w:sz w:val="16"/>
                <w:szCs w:val="16"/>
                <w:lang w:eastAsia="fr-FR"/>
              </w:rPr>
              <w:drawing>
                <wp:anchor distT="0" distB="0" distL="114300" distR="114300" simplePos="0" relativeHeight="251660288" behindDoc="0" locked="0" layoutInCell="1" allowOverlap="1" wp14:anchorId="56B2B36E" wp14:editId="209A70CF">
                  <wp:simplePos x="0" y="0"/>
                  <wp:positionH relativeFrom="column">
                    <wp:posOffset>1461135</wp:posOffset>
                  </wp:positionH>
                  <wp:positionV relativeFrom="paragraph">
                    <wp:posOffset>17145</wp:posOffset>
                  </wp:positionV>
                  <wp:extent cx="123825" cy="123825"/>
                  <wp:effectExtent l="0" t="0" r="9525" b="9525"/>
                  <wp:wrapNone/>
                  <wp:docPr id="63" name="Image 63" descr="D:\Utilisateurs\cdavalis\Pictur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tilisateurs\cdavalis\Pictures\imag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6E3">
              <w:rPr>
                <w:rStyle w:val="Lienhypertexte"/>
                <w:rFonts w:ascii="Marianne" w:hAnsi="Marianne"/>
                <w:noProof/>
                <w:sz w:val="16"/>
                <w:szCs w:val="16"/>
                <w:lang w:eastAsia="fr-FR"/>
              </w:rPr>
              <w:drawing>
                <wp:anchor distT="0" distB="0" distL="114300" distR="114300" simplePos="0" relativeHeight="251659264" behindDoc="0" locked="0" layoutInCell="1" allowOverlap="1" wp14:anchorId="5FE6739D" wp14:editId="26EE33A4">
                  <wp:simplePos x="0" y="0"/>
                  <wp:positionH relativeFrom="column">
                    <wp:posOffset>1304290</wp:posOffset>
                  </wp:positionH>
                  <wp:positionV relativeFrom="paragraph">
                    <wp:posOffset>8890</wp:posOffset>
                  </wp:positionV>
                  <wp:extent cx="123825" cy="123825"/>
                  <wp:effectExtent l="0" t="0" r="9525" b="9525"/>
                  <wp:wrapNone/>
                  <wp:docPr id="64" name="Image 64"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davalis\Pictures\inde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PAGE</w:instrText>
            </w:r>
            <w:r>
              <w:rPr>
                <w:b/>
                <w:bCs/>
                <w:sz w:val="24"/>
                <w:szCs w:val="24"/>
              </w:rPr>
              <w:fldChar w:fldCharType="separate"/>
            </w:r>
            <w:r w:rsidR="006D3790">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D3790">
              <w:rPr>
                <w:b/>
                <w:bCs/>
                <w:noProof/>
              </w:rPr>
              <w:t>6</w:t>
            </w:r>
            <w:r>
              <w:rPr>
                <w:b/>
                <w:bCs/>
                <w:sz w:val="24"/>
                <w:szCs w:val="24"/>
              </w:rPr>
              <w:fldChar w:fldCharType="end"/>
            </w:r>
          </w:p>
        </w:sdtContent>
      </w:sdt>
    </w:sdtContent>
  </w:sdt>
  <w:p w:rsidR="008A72A2" w:rsidRPr="001F19AA" w:rsidRDefault="008A72A2" w:rsidP="001F19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C0F" w:rsidRDefault="00253C0F" w:rsidP="002D02FE">
      <w:pPr>
        <w:spacing w:after="0" w:line="240" w:lineRule="auto"/>
      </w:pPr>
      <w:r>
        <w:separator/>
      </w:r>
    </w:p>
  </w:footnote>
  <w:footnote w:type="continuationSeparator" w:id="0">
    <w:p w:rsidR="00253C0F" w:rsidRDefault="00253C0F" w:rsidP="002D0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29B4"/>
    <w:multiLevelType w:val="hybridMultilevel"/>
    <w:tmpl w:val="4D9835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711B91"/>
    <w:multiLevelType w:val="hybridMultilevel"/>
    <w:tmpl w:val="666817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7559F"/>
    <w:multiLevelType w:val="hybridMultilevel"/>
    <w:tmpl w:val="21A4F44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179850F2"/>
    <w:multiLevelType w:val="hybridMultilevel"/>
    <w:tmpl w:val="D514F3E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644" w:hanging="360"/>
      </w:pPr>
      <w:rPr>
        <w:rFonts w:ascii="Wingdings" w:hAnsi="Wingdings" w:hint="default"/>
      </w:rPr>
    </w:lvl>
    <w:lvl w:ilvl="3" w:tplc="040C0001" w:tentative="1">
      <w:start w:val="1"/>
      <w:numFmt w:val="bullet"/>
      <w:lvlText w:val=""/>
      <w:lvlJc w:val="left"/>
      <w:pPr>
        <w:ind w:left="76" w:hanging="360"/>
      </w:pPr>
      <w:rPr>
        <w:rFonts w:ascii="Symbol" w:hAnsi="Symbol" w:hint="default"/>
      </w:rPr>
    </w:lvl>
    <w:lvl w:ilvl="4" w:tplc="040C0003" w:tentative="1">
      <w:start w:val="1"/>
      <w:numFmt w:val="bullet"/>
      <w:lvlText w:val="o"/>
      <w:lvlJc w:val="left"/>
      <w:pPr>
        <w:ind w:left="796" w:hanging="360"/>
      </w:pPr>
      <w:rPr>
        <w:rFonts w:ascii="Courier New" w:hAnsi="Courier New" w:cs="Courier New" w:hint="default"/>
      </w:rPr>
    </w:lvl>
    <w:lvl w:ilvl="5" w:tplc="040C0005" w:tentative="1">
      <w:start w:val="1"/>
      <w:numFmt w:val="bullet"/>
      <w:lvlText w:val=""/>
      <w:lvlJc w:val="left"/>
      <w:pPr>
        <w:ind w:left="1516" w:hanging="360"/>
      </w:pPr>
      <w:rPr>
        <w:rFonts w:ascii="Wingdings" w:hAnsi="Wingdings" w:hint="default"/>
      </w:rPr>
    </w:lvl>
    <w:lvl w:ilvl="6" w:tplc="040C0001" w:tentative="1">
      <w:start w:val="1"/>
      <w:numFmt w:val="bullet"/>
      <w:lvlText w:val=""/>
      <w:lvlJc w:val="left"/>
      <w:pPr>
        <w:ind w:left="2236" w:hanging="360"/>
      </w:pPr>
      <w:rPr>
        <w:rFonts w:ascii="Symbol" w:hAnsi="Symbol" w:hint="default"/>
      </w:rPr>
    </w:lvl>
    <w:lvl w:ilvl="7" w:tplc="040C0003" w:tentative="1">
      <w:start w:val="1"/>
      <w:numFmt w:val="bullet"/>
      <w:lvlText w:val="o"/>
      <w:lvlJc w:val="left"/>
      <w:pPr>
        <w:ind w:left="2956" w:hanging="360"/>
      </w:pPr>
      <w:rPr>
        <w:rFonts w:ascii="Courier New" w:hAnsi="Courier New" w:cs="Courier New" w:hint="default"/>
      </w:rPr>
    </w:lvl>
    <w:lvl w:ilvl="8" w:tplc="040C0005" w:tentative="1">
      <w:start w:val="1"/>
      <w:numFmt w:val="bullet"/>
      <w:lvlText w:val=""/>
      <w:lvlJc w:val="left"/>
      <w:pPr>
        <w:ind w:left="3676" w:hanging="360"/>
      </w:pPr>
      <w:rPr>
        <w:rFonts w:ascii="Wingdings" w:hAnsi="Wingdings" w:hint="default"/>
      </w:rPr>
    </w:lvl>
  </w:abstractNum>
  <w:abstractNum w:abstractNumId="4" w15:restartNumberingAfterBreak="0">
    <w:nsid w:val="3CAA028F"/>
    <w:multiLevelType w:val="hybridMultilevel"/>
    <w:tmpl w:val="630AEB62"/>
    <w:lvl w:ilvl="0" w:tplc="5FDE569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A31A5A"/>
    <w:multiLevelType w:val="hybridMultilevel"/>
    <w:tmpl w:val="43800FDC"/>
    <w:lvl w:ilvl="0" w:tplc="12B8749E">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26310C5"/>
    <w:multiLevelType w:val="hybridMultilevel"/>
    <w:tmpl w:val="229C18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E4111D"/>
    <w:multiLevelType w:val="hybridMultilevel"/>
    <w:tmpl w:val="4C1EA8F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5B90B81"/>
    <w:multiLevelType w:val="hybridMultilevel"/>
    <w:tmpl w:val="FF40C7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A74272"/>
    <w:multiLevelType w:val="hybridMultilevel"/>
    <w:tmpl w:val="7E08728E"/>
    <w:lvl w:ilvl="0" w:tplc="36326E50">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7E1A2E"/>
    <w:multiLevelType w:val="hybridMultilevel"/>
    <w:tmpl w:val="3886D1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741154"/>
    <w:multiLevelType w:val="hybridMultilevel"/>
    <w:tmpl w:val="DE364966"/>
    <w:lvl w:ilvl="0" w:tplc="5110299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5C7A61"/>
    <w:multiLevelType w:val="hybridMultilevel"/>
    <w:tmpl w:val="52B2D0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7E7A7F"/>
    <w:multiLevelType w:val="hybridMultilevel"/>
    <w:tmpl w:val="3484194E"/>
    <w:lvl w:ilvl="0" w:tplc="155483FA">
      <w:start w:val="1"/>
      <w:numFmt w:val="bullet"/>
      <w:lvlText w:val=""/>
      <w:lvlJc w:val="left"/>
      <w:pPr>
        <w:ind w:left="785"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B04AA1"/>
    <w:multiLevelType w:val="hybridMultilevel"/>
    <w:tmpl w:val="6E1A65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D41627"/>
    <w:multiLevelType w:val="hybridMultilevel"/>
    <w:tmpl w:val="DE1C9892"/>
    <w:lvl w:ilvl="0" w:tplc="9B7683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672297"/>
    <w:multiLevelType w:val="hybridMultilevel"/>
    <w:tmpl w:val="82383048"/>
    <w:lvl w:ilvl="0" w:tplc="E35CE4E0">
      <w:start w:val="1"/>
      <w:numFmt w:val="bullet"/>
      <w:lvlText w:val=""/>
      <w:lvlJc w:val="righ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BB4DFB"/>
    <w:multiLevelType w:val="hybridMultilevel"/>
    <w:tmpl w:val="8BA81A92"/>
    <w:lvl w:ilvl="0" w:tplc="85AC8AA6">
      <w:start w:val="1"/>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5C5B5C"/>
    <w:multiLevelType w:val="hybridMultilevel"/>
    <w:tmpl w:val="3A007E76"/>
    <w:lvl w:ilvl="0" w:tplc="931E7FD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8"/>
  </w:num>
  <w:num w:numId="4">
    <w:abstractNumId w:val="17"/>
  </w:num>
  <w:num w:numId="5">
    <w:abstractNumId w:val="0"/>
  </w:num>
  <w:num w:numId="6">
    <w:abstractNumId w:val="6"/>
  </w:num>
  <w:num w:numId="7">
    <w:abstractNumId w:val="10"/>
  </w:num>
  <w:num w:numId="8">
    <w:abstractNumId w:val="7"/>
  </w:num>
  <w:num w:numId="9">
    <w:abstractNumId w:val="11"/>
  </w:num>
  <w:num w:numId="10">
    <w:abstractNumId w:val="4"/>
  </w:num>
  <w:num w:numId="11">
    <w:abstractNumId w:val="15"/>
  </w:num>
  <w:num w:numId="12">
    <w:abstractNumId w:val="14"/>
  </w:num>
  <w:num w:numId="13">
    <w:abstractNumId w:val="13"/>
  </w:num>
  <w:num w:numId="14">
    <w:abstractNumId w:val="8"/>
  </w:num>
  <w:num w:numId="15">
    <w:abstractNumId w:val="2"/>
  </w:num>
  <w:num w:numId="16">
    <w:abstractNumId w:val="3"/>
  </w:num>
  <w:num w:numId="17">
    <w:abstractNumId w:val="16"/>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CD"/>
    <w:rsid w:val="000045FD"/>
    <w:rsid w:val="00033BED"/>
    <w:rsid w:val="00050F7D"/>
    <w:rsid w:val="00091473"/>
    <w:rsid w:val="00101C83"/>
    <w:rsid w:val="00111B7D"/>
    <w:rsid w:val="0014243D"/>
    <w:rsid w:val="00154EF5"/>
    <w:rsid w:val="00170748"/>
    <w:rsid w:val="00180C11"/>
    <w:rsid w:val="00185BC2"/>
    <w:rsid w:val="001A4781"/>
    <w:rsid w:val="001C0EC1"/>
    <w:rsid w:val="001C1568"/>
    <w:rsid w:val="001D14C9"/>
    <w:rsid w:val="001F19AA"/>
    <w:rsid w:val="001F7189"/>
    <w:rsid w:val="001F72FD"/>
    <w:rsid w:val="00253C0F"/>
    <w:rsid w:val="002706FC"/>
    <w:rsid w:val="0029024A"/>
    <w:rsid w:val="0029115F"/>
    <w:rsid w:val="002A4158"/>
    <w:rsid w:val="002D02FE"/>
    <w:rsid w:val="003150A9"/>
    <w:rsid w:val="00327C3A"/>
    <w:rsid w:val="0034618D"/>
    <w:rsid w:val="00367B14"/>
    <w:rsid w:val="003A1580"/>
    <w:rsid w:val="003C7B39"/>
    <w:rsid w:val="003E5ED2"/>
    <w:rsid w:val="00413922"/>
    <w:rsid w:val="004275B0"/>
    <w:rsid w:val="00451D1E"/>
    <w:rsid w:val="0048495D"/>
    <w:rsid w:val="00497035"/>
    <w:rsid w:val="004D02E5"/>
    <w:rsid w:val="004D58A6"/>
    <w:rsid w:val="004E7114"/>
    <w:rsid w:val="00500660"/>
    <w:rsid w:val="0050554F"/>
    <w:rsid w:val="005249DC"/>
    <w:rsid w:val="00535AFD"/>
    <w:rsid w:val="005736A9"/>
    <w:rsid w:val="00594F06"/>
    <w:rsid w:val="005B4FC6"/>
    <w:rsid w:val="005B6373"/>
    <w:rsid w:val="006525B0"/>
    <w:rsid w:val="00661BBC"/>
    <w:rsid w:val="006C7FEC"/>
    <w:rsid w:val="006D3790"/>
    <w:rsid w:val="006D62E2"/>
    <w:rsid w:val="007023CD"/>
    <w:rsid w:val="00715376"/>
    <w:rsid w:val="007234E8"/>
    <w:rsid w:val="00740E4A"/>
    <w:rsid w:val="00751001"/>
    <w:rsid w:val="00757508"/>
    <w:rsid w:val="007E4BD4"/>
    <w:rsid w:val="007E7E48"/>
    <w:rsid w:val="0083088C"/>
    <w:rsid w:val="00831F80"/>
    <w:rsid w:val="00871B08"/>
    <w:rsid w:val="00871E6A"/>
    <w:rsid w:val="00877F38"/>
    <w:rsid w:val="00881EB2"/>
    <w:rsid w:val="008A72A2"/>
    <w:rsid w:val="008E2C38"/>
    <w:rsid w:val="008F1BFE"/>
    <w:rsid w:val="0094053A"/>
    <w:rsid w:val="00957053"/>
    <w:rsid w:val="00982257"/>
    <w:rsid w:val="009B1638"/>
    <w:rsid w:val="00A115B8"/>
    <w:rsid w:val="00A566DA"/>
    <w:rsid w:val="00A73BC9"/>
    <w:rsid w:val="00A8548C"/>
    <w:rsid w:val="00A962A8"/>
    <w:rsid w:val="00AA05C0"/>
    <w:rsid w:val="00AA5862"/>
    <w:rsid w:val="00AB72A1"/>
    <w:rsid w:val="00AE7A9A"/>
    <w:rsid w:val="00B0667B"/>
    <w:rsid w:val="00B1293E"/>
    <w:rsid w:val="00B47802"/>
    <w:rsid w:val="00B6458E"/>
    <w:rsid w:val="00B911E2"/>
    <w:rsid w:val="00BF0A3A"/>
    <w:rsid w:val="00BF1D16"/>
    <w:rsid w:val="00C2568F"/>
    <w:rsid w:val="00C25DB6"/>
    <w:rsid w:val="00C35E4C"/>
    <w:rsid w:val="00C56EA9"/>
    <w:rsid w:val="00C61833"/>
    <w:rsid w:val="00C94232"/>
    <w:rsid w:val="00CA632D"/>
    <w:rsid w:val="00CC6E54"/>
    <w:rsid w:val="00CD42D0"/>
    <w:rsid w:val="00CD5DD8"/>
    <w:rsid w:val="00CF6A6E"/>
    <w:rsid w:val="00D2141E"/>
    <w:rsid w:val="00D21A8E"/>
    <w:rsid w:val="00D43C00"/>
    <w:rsid w:val="00D45514"/>
    <w:rsid w:val="00D46CE8"/>
    <w:rsid w:val="00D63C95"/>
    <w:rsid w:val="00D70CD5"/>
    <w:rsid w:val="00D905BF"/>
    <w:rsid w:val="00E22C5A"/>
    <w:rsid w:val="00E33176"/>
    <w:rsid w:val="00E3483A"/>
    <w:rsid w:val="00E8628C"/>
    <w:rsid w:val="00EE58AE"/>
    <w:rsid w:val="00EF2A18"/>
    <w:rsid w:val="00F2341E"/>
    <w:rsid w:val="00F562DE"/>
    <w:rsid w:val="00F839C9"/>
    <w:rsid w:val="00FB360C"/>
    <w:rsid w:val="00FB6E53"/>
    <w:rsid w:val="00FD1E13"/>
    <w:rsid w:val="00FE36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17889E0-34E0-4AEA-9B35-8D11864C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23CD"/>
    <w:pPr>
      <w:ind w:left="720"/>
      <w:contextualSpacing/>
    </w:pPr>
  </w:style>
  <w:style w:type="character" w:styleId="Lienhypertexte">
    <w:name w:val="Hyperlink"/>
    <w:basedOn w:val="Policepardfaut"/>
    <w:uiPriority w:val="99"/>
    <w:unhideWhenUsed/>
    <w:rsid w:val="00EE58AE"/>
    <w:rPr>
      <w:color w:val="0000FF"/>
      <w:u w:val="single"/>
    </w:rPr>
  </w:style>
  <w:style w:type="paragraph" w:styleId="Sansinterligne">
    <w:name w:val="No Spacing"/>
    <w:aliases w:val="Texte courant"/>
    <w:link w:val="SansinterligneCar"/>
    <w:uiPriority w:val="1"/>
    <w:qFormat/>
    <w:rsid w:val="00CF6A6E"/>
    <w:pPr>
      <w:spacing w:after="0" w:line="240" w:lineRule="auto"/>
    </w:pPr>
    <w:rPr>
      <w:rFonts w:eastAsiaTheme="minorEastAsia"/>
      <w:lang w:eastAsia="fr-FR"/>
    </w:rPr>
  </w:style>
  <w:style w:type="character" w:customStyle="1" w:styleId="SansinterligneCar">
    <w:name w:val="Sans interligne Car"/>
    <w:aliases w:val="Texte courant Car"/>
    <w:basedOn w:val="Policepardfaut"/>
    <w:link w:val="Sansinterligne"/>
    <w:uiPriority w:val="1"/>
    <w:rsid w:val="00CF6A6E"/>
    <w:rPr>
      <w:rFonts w:eastAsiaTheme="minorEastAsia"/>
      <w:lang w:eastAsia="fr-FR"/>
    </w:rPr>
  </w:style>
  <w:style w:type="paragraph" w:styleId="En-tte">
    <w:name w:val="header"/>
    <w:basedOn w:val="Normal"/>
    <w:link w:val="En-tteCar"/>
    <w:uiPriority w:val="99"/>
    <w:unhideWhenUsed/>
    <w:rsid w:val="002D02FE"/>
    <w:pPr>
      <w:tabs>
        <w:tab w:val="center" w:pos="4536"/>
        <w:tab w:val="right" w:pos="9072"/>
      </w:tabs>
      <w:spacing w:after="0" w:line="240" w:lineRule="auto"/>
    </w:pPr>
  </w:style>
  <w:style w:type="character" w:customStyle="1" w:styleId="En-tteCar">
    <w:name w:val="En-tête Car"/>
    <w:basedOn w:val="Policepardfaut"/>
    <w:link w:val="En-tte"/>
    <w:uiPriority w:val="99"/>
    <w:rsid w:val="002D02FE"/>
  </w:style>
  <w:style w:type="paragraph" w:styleId="Pieddepage">
    <w:name w:val="footer"/>
    <w:basedOn w:val="Normal"/>
    <w:link w:val="PieddepageCar"/>
    <w:uiPriority w:val="99"/>
    <w:unhideWhenUsed/>
    <w:rsid w:val="002D0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2FE"/>
  </w:style>
  <w:style w:type="paragraph" w:styleId="Notedebasdepage">
    <w:name w:val="footnote text"/>
    <w:basedOn w:val="Normal"/>
    <w:link w:val="NotedebasdepageCar"/>
    <w:uiPriority w:val="99"/>
    <w:semiHidden/>
    <w:unhideWhenUsed/>
    <w:rsid w:val="005249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49DC"/>
    <w:rPr>
      <w:sz w:val="20"/>
      <w:szCs w:val="20"/>
    </w:rPr>
  </w:style>
  <w:style w:type="character" w:styleId="Appelnotedebasdep">
    <w:name w:val="footnote reference"/>
    <w:basedOn w:val="Policepardfaut"/>
    <w:uiPriority w:val="99"/>
    <w:semiHidden/>
    <w:unhideWhenUsed/>
    <w:rsid w:val="005249DC"/>
    <w:rPr>
      <w:vertAlign w:val="superscript"/>
    </w:rPr>
  </w:style>
  <w:style w:type="paragraph" w:styleId="NormalWeb">
    <w:name w:val="Normal (Web)"/>
    <w:basedOn w:val="Normal"/>
    <w:uiPriority w:val="99"/>
    <w:unhideWhenUsed/>
    <w:rsid w:val="00B0667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lev">
    <w:name w:val="Strong"/>
    <w:basedOn w:val="Policepardfaut"/>
    <w:uiPriority w:val="22"/>
    <w:qFormat/>
    <w:rsid w:val="00B6458E"/>
    <w:rPr>
      <w:b/>
      <w:bCs/>
    </w:rPr>
  </w:style>
  <w:style w:type="paragraph" w:customStyle="1" w:styleId="Pa6">
    <w:name w:val="Pa6"/>
    <w:basedOn w:val="Normal"/>
    <w:next w:val="Normal"/>
    <w:uiPriority w:val="99"/>
    <w:rsid w:val="00B6458E"/>
    <w:pPr>
      <w:autoSpaceDE w:val="0"/>
      <w:autoSpaceDN w:val="0"/>
      <w:adjustRightInd w:val="0"/>
      <w:spacing w:after="0" w:line="241" w:lineRule="atLeast"/>
    </w:pPr>
    <w:rPr>
      <w:rFonts w:ascii="Trebuchet MS" w:hAnsi="Trebuchet MS"/>
      <w:sz w:val="24"/>
      <w:szCs w:val="24"/>
      <w:lang w:eastAsia="fr-FR"/>
    </w:rPr>
  </w:style>
  <w:style w:type="character" w:customStyle="1" w:styleId="A0">
    <w:name w:val="A0"/>
    <w:uiPriority w:val="99"/>
    <w:rsid w:val="00B6458E"/>
    <w:rPr>
      <w:rFonts w:cs="Trebuchet MS"/>
      <w:color w:val="000000"/>
      <w:sz w:val="16"/>
      <w:szCs w:val="16"/>
    </w:rPr>
  </w:style>
  <w:style w:type="table" w:styleId="Grilledutableau">
    <w:name w:val="Table Grid"/>
    <w:basedOn w:val="TableauNormal"/>
    <w:uiPriority w:val="59"/>
    <w:rsid w:val="00B6458E"/>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FEC"/>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FB6E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ngerbouger.fr/recettes-en-2-2" TargetMode="External"/><Relationship Id="rId18" Type="http://schemas.openxmlformats.org/officeDocument/2006/relationships/image" Target="media/image8.jpeg"/><Relationship Id="rId26" Type="http://schemas.openxmlformats.org/officeDocument/2006/relationships/hyperlink" Target="http://www.mangerbouger.fr" TargetMode="External"/><Relationship Id="rId3" Type="http://schemas.openxmlformats.org/officeDocument/2006/relationships/styles" Target="styles.xml"/><Relationship Id="rId21" Type="http://schemas.openxmlformats.org/officeDocument/2006/relationships/hyperlink" Target="https://urldefense.com/v3/__https:/youtu.be/GrXpnKx7dTM__;!!FiWPmuqhD5aF3oDTQnc!06q4D3umckY84tIPk_uNC1n2LK17o144w2pF6Am5nsNpcBBVvI6UtU8PitUY2cMD1Sme6Q$"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fif"/><Relationship Id="rId17" Type="http://schemas.openxmlformats.org/officeDocument/2006/relationships/hyperlink" Target="https://www.santepubliquefrance.fr/determinants-de-sante/nutrition-et-activite-physique/articles/kit-de-promotion-du-dispositif-nutri-score" TargetMode="External"/><Relationship Id="rId25" Type="http://schemas.openxmlformats.org/officeDocument/2006/relationships/image" Target="media/image10.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g"/><Relationship Id="rId29"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urldefense.com/v3/__https:/youtu.be/QvskdP8Ldu4__;!!FiWPmuqhD5aF3oDTQnc!06q4D3umckY84tIPk_uNC1n2LK17o144w2pF6Am5nsNpcBBVvI6UtU8PitUY2cNKvn30og$" TargetMode="External"/><Relationship Id="rId32" Type="http://schemas.openxmlformats.org/officeDocument/2006/relationships/hyperlink" Target="http://www.mangerbouger.fr" TargetMode="External"/><Relationship Id="rId5" Type="http://schemas.openxmlformats.org/officeDocument/2006/relationships/webSettings" Target="webSettings.xml"/><Relationship Id="rId15" Type="http://schemas.openxmlformats.org/officeDocument/2006/relationships/hyperlink" Target="http://www.mangerbouger.fr" TargetMode="External"/><Relationship Id="rId23" Type="http://schemas.openxmlformats.org/officeDocument/2006/relationships/hyperlink" Target="https://urldefense.com/v3/__https:/youtu.be/Be719Ux71Xw__;!!FiWPmuqhD5aF3oDTQnc!06q4D3umckY84tIPk_uNC1n2LK17o144w2pF6Am5nsNpcBBVvI6UtU8PitUY2cMR3YLg2g$" TargetMode="External"/><Relationship Id="rId28" Type="http://schemas.openxmlformats.org/officeDocument/2006/relationships/hyperlink" Target="http://www.mangerbouger.fr" TargetMode="External"/><Relationship Id="rId10" Type="http://schemas.openxmlformats.org/officeDocument/2006/relationships/image" Target="media/image3.png"/><Relationship Id="rId19" Type="http://schemas.openxmlformats.org/officeDocument/2006/relationships/hyperlink" Target="http://www.mangerbouger.fr"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gif"/><Relationship Id="rId22" Type="http://schemas.openxmlformats.org/officeDocument/2006/relationships/hyperlink" Target="https://urldefense.com/v3/__https:/youtu.be/M6lA82lviUU__;!!FiWPmuqhD5aF3oDTQnc!06q4D3umckY84tIPk_uNC1n2LK17o144w2pF6Am5nsNpcBBVvI6UtU8PitUY2cM6XSPU9A$" TargetMode="External"/><Relationship Id="rId27" Type="http://schemas.openxmlformats.org/officeDocument/2006/relationships/image" Target="media/image11.png"/><Relationship Id="rId30" Type="http://schemas.openxmlformats.org/officeDocument/2006/relationships/hyperlink" Target="http://www.mangerbouger.fr"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http://www.ars.bretagne.sante.fr" TargetMode="External"/><Relationship Id="rId1" Type="http://schemas.openxmlformats.org/officeDocument/2006/relationships/hyperlink" Target="mailto:ars-bretagne-pps-aap@ars.sante.fr" TargetMode="External"/><Relationship Id="rId5" Type="http://schemas.openxmlformats.org/officeDocument/2006/relationships/image" Target="media/image16.png"/><Relationship Id="rId4"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05F0-782D-48A9-8C4E-2F2ADA15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2156</Words>
  <Characters>11863</Characters>
  <Application>Microsoft Office Word</Application>
  <DocSecurity>4</DocSecurity>
  <Lines>98</Lines>
  <Paragraphs>27</Paragraphs>
  <ScaleCrop>false</ScaleCrop>
  <HeadingPairs>
    <vt:vector size="2" baseType="variant">
      <vt:variant>
        <vt:lpstr>Titre</vt:lpstr>
      </vt:variant>
      <vt:variant>
        <vt:i4>1</vt:i4>
      </vt:variant>
    </vt:vector>
  </HeadingPairs>
  <TitlesOfParts>
    <vt:vector size="1" baseType="lpstr">
      <vt:lpstr>APPEL À PROJETS</vt:lpstr>
    </vt:vector>
  </TitlesOfParts>
  <Company>Ministère des affaires sociales</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PROJETS</dc:title>
  <dc:subject>Alimentation et activité physique des jeunes de 16 à 25 ans</dc:subject>
  <dc:creator>LE SAINT, Mathilde</dc:creator>
  <cp:keywords/>
  <dc:description/>
  <cp:lastModifiedBy>JAUNET, Jean-Marc</cp:lastModifiedBy>
  <cp:revision>2</cp:revision>
  <dcterms:created xsi:type="dcterms:W3CDTF">2021-07-08T12:37:00Z</dcterms:created>
  <dcterms:modified xsi:type="dcterms:W3CDTF">2021-07-08T12:37:00Z</dcterms:modified>
</cp:coreProperties>
</file>