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47" w:rsidRDefault="000E4547"/>
    <w:p w:rsidR="000E4547" w:rsidRDefault="000E4547"/>
    <w:tbl>
      <w:tblPr>
        <w:tblStyle w:val="Grilledutableau"/>
        <w:tblW w:w="9067" w:type="dxa"/>
        <w:tblLook w:val="04A0" w:firstRow="1" w:lastRow="0" w:firstColumn="1" w:lastColumn="0" w:noHBand="0" w:noVBand="1"/>
      </w:tblPr>
      <w:tblGrid>
        <w:gridCol w:w="4606"/>
        <w:gridCol w:w="4461"/>
      </w:tblGrid>
      <w:tr w:rsidR="00D10F00" w:rsidTr="00D10F00">
        <w:trPr>
          <w:trHeight w:val="326"/>
        </w:trPr>
        <w:tc>
          <w:tcPr>
            <w:tcW w:w="4606" w:type="dxa"/>
            <w:shd w:val="clear" w:color="auto" w:fill="D6E3BC" w:themeFill="accent3" w:themeFillTint="66"/>
          </w:tcPr>
          <w:p w:rsidR="00D10F00" w:rsidRDefault="00D10F00" w:rsidP="00513D42">
            <w:r>
              <w:t>Référence cartographie des emplois</w:t>
            </w:r>
          </w:p>
        </w:tc>
        <w:tc>
          <w:tcPr>
            <w:tcW w:w="4461" w:type="dxa"/>
            <w:shd w:val="clear" w:color="auto" w:fill="D6E3BC" w:themeFill="accent3" w:themeFillTint="66"/>
          </w:tcPr>
          <w:p w:rsidR="00D10F00" w:rsidRDefault="00D10F00" w:rsidP="00513D42">
            <w:r>
              <w:t>Correspondance UCANSS</w:t>
            </w:r>
          </w:p>
        </w:tc>
      </w:tr>
      <w:tr w:rsidR="00D10F00" w:rsidRPr="00D17BA2" w:rsidTr="00D10F00">
        <w:trPr>
          <w:trHeight w:val="326"/>
        </w:trPr>
        <w:tc>
          <w:tcPr>
            <w:tcW w:w="4606" w:type="dxa"/>
          </w:tcPr>
          <w:p w:rsidR="00D10F00" w:rsidRPr="00D63F64" w:rsidRDefault="00D10F00" w:rsidP="00513D42">
            <w:pPr>
              <w:rPr>
                <w:lang w:val="en-US"/>
              </w:rPr>
            </w:pPr>
          </w:p>
        </w:tc>
        <w:tc>
          <w:tcPr>
            <w:tcW w:w="4461" w:type="dxa"/>
          </w:tcPr>
          <w:p w:rsidR="00D10F00" w:rsidRPr="00D63F64" w:rsidRDefault="00D10F00" w:rsidP="00513D42">
            <w:pPr>
              <w:rPr>
                <w:lang w:val="en-US"/>
              </w:rPr>
            </w:pPr>
          </w:p>
        </w:tc>
      </w:tr>
      <w:tr w:rsidR="00D10F00" w:rsidRPr="00D17BA2" w:rsidTr="00D10F00">
        <w:trPr>
          <w:trHeight w:val="326"/>
        </w:trPr>
        <w:tc>
          <w:tcPr>
            <w:tcW w:w="4606" w:type="dxa"/>
          </w:tcPr>
          <w:p w:rsidR="00D10F00" w:rsidRPr="00D63F64" w:rsidRDefault="00D10F00" w:rsidP="00513D42">
            <w:pPr>
              <w:rPr>
                <w:lang w:val="en-US"/>
              </w:rPr>
            </w:pPr>
          </w:p>
        </w:tc>
        <w:tc>
          <w:tcPr>
            <w:tcW w:w="4461" w:type="dxa"/>
          </w:tcPr>
          <w:p w:rsidR="00D10F00" w:rsidRDefault="00D10F00" w:rsidP="00513D42"/>
        </w:tc>
      </w:tr>
      <w:tr w:rsidR="00D10F00" w:rsidRPr="00D17BA2" w:rsidTr="00D10F00">
        <w:trPr>
          <w:trHeight w:val="326"/>
        </w:trPr>
        <w:tc>
          <w:tcPr>
            <w:tcW w:w="4606" w:type="dxa"/>
          </w:tcPr>
          <w:p w:rsidR="00D10F00" w:rsidRPr="006B64BF" w:rsidRDefault="00D10F00" w:rsidP="00513D42"/>
        </w:tc>
        <w:tc>
          <w:tcPr>
            <w:tcW w:w="4461" w:type="dxa"/>
          </w:tcPr>
          <w:p w:rsidR="00D10F00" w:rsidRDefault="00D10F00" w:rsidP="00513D42"/>
        </w:tc>
      </w:tr>
      <w:tr w:rsidR="00D10F00" w:rsidTr="00D10F00">
        <w:tc>
          <w:tcPr>
            <w:tcW w:w="9067" w:type="dxa"/>
            <w:gridSpan w:val="2"/>
            <w:shd w:val="clear" w:color="auto" w:fill="D6E3BC" w:themeFill="accent3" w:themeFillTint="66"/>
          </w:tcPr>
          <w:p w:rsidR="00D10F00" w:rsidRDefault="00D10F00" w:rsidP="00513D42">
            <w:pPr>
              <w:jc w:val="center"/>
              <w:rPr>
                <w:b/>
              </w:rPr>
            </w:pPr>
            <w:r>
              <w:rPr>
                <w:b/>
              </w:rPr>
              <w:t xml:space="preserve">Intitulé du poste </w:t>
            </w:r>
          </w:p>
        </w:tc>
      </w:tr>
      <w:tr w:rsidR="00D10F00" w:rsidTr="00D10F00">
        <w:tc>
          <w:tcPr>
            <w:tcW w:w="9067" w:type="dxa"/>
            <w:gridSpan w:val="2"/>
            <w:shd w:val="clear" w:color="auto" w:fill="F2F2F2" w:themeFill="background1" w:themeFillShade="F2"/>
          </w:tcPr>
          <w:p w:rsidR="00D10F00" w:rsidRPr="0077533A" w:rsidRDefault="00D10F00" w:rsidP="00513D42">
            <w:pPr>
              <w:jc w:val="center"/>
              <w:rPr>
                <w:sz w:val="16"/>
                <w:szCs w:val="16"/>
              </w:rPr>
            </w:pPr>
          </w:p>
          <w:p w:rsidR="00D10F00" w:rsidRDefault="002075AB" w:rsidP="00513D42">
            <w:pPr>
              <w:jc w:val="center"/>
            </w:pPr>
            <w:r>
              <w:t>Technicien Sanitaire et de Sécurité Sanitaire (T3S) Estival Eaux de Loisir</w:t>
            </w:r>
          </w:p>
          <w:p w:rsidR="006E5C2D" w:rsidRDefault="00877C96" w:rsidP="00513D42">
            <w:pPr>
              <w:jc w:val="center"/>
            </w:pPr>
            <w:r>
              <w:t>(</w:t>
            </w:r>
            <w:r w:rsidR="006E5C2D">
              <w:t>CDD</w:t>
            </w:r>
            <w:r>
              <w:t>)</w:t>
            </w:r>
            <w:bookmarkStart w:id="0" w:name="_GoBack"/>
            <w:bookmarkEnd w:id="0"/>
          </w:p>
          <w:p w:rsidR="00D10F00" w:rsidRPr="00D10F00" w:rsidRDefault="00D10F00" w:rsidP="00513D42">
            <w:pPr>
              <w:rPr>
                <w:sz w:val="16"/>
                <w:szCs w:val="16"/>
              </w:rPr>
            </w:pPr>
          </w:p>
        </w:tc>
      </w:tr>
      <w:tr w:rsidR="00D10F00" w:rsidTr="00D10F00">
        <w:tc>
          <w:tcPr>
            <w:tcW w:w="9067" w:type="dxa"/>
            <w:gridSpan w:val="2"/>
          </w:tcPr>
          <w:p w:rsidR="00D10F00" w:rsidRDefault="00D10F00" w:rsidP="00513D42">
            <w:pPr>
              <w:jc w:val="center"/>
              <w:rPr>
                <w:b/>
              </w:rPr>
            </w:pPr>
            <w:r>
              <w:rPr>
                <w:b/>
              </w:rPr>
              <w:t>Intitulé de l’emploi</w:t>
            </w:r>
          </w:p>
        </w:tc>
      </w:tr>
      <w:tr w:rsidR="00D10F00" w:rsidTr="00D10F00">
        <w:tc>
          <w:tcPr>
            <w:tcW w:w="9067" w:type="dxa"/>
            <w:gridSpan w:val="2"/>
          </w:tcPr>
          <w:p w:rsidR="00D10F00" w:rsidRPr="0077533A" w:rsidRDefault="00D10F00" w:rsidP="00513D42">
            <w:pPr>
              <w:rPr>
                <w:sz w:val="4"/>
                <w:szCs w:val="4"/>
              </w:rPr>
            </w:pPr>
          </w:p>
          <w:p w:rsidR="00D10F00" w:rsidRDefault="002075AB" w:rsidP="00513D42">
            <w:pPr>
              <w:jc w:val="center"/>
            </w:pPr>
            <w:r>
              <w:t>Technicien Sanitaire et de Sécurité Sanitaire</w:t>
            </w:r>
          </w:p>
          <w:p w:rsidR="00D10F00" w:rsidRPr="0077533A" w:rsidRDefault="00D10F00" w:rsidP="00513D42">
            <w:pPr>
              <w:rPr>
                <w:sz w:val="4"/>
                <w:szCs w:val="4"/>
              </w:rPr>
            </w:pPr>
          </w:p>
        </w:tc>
      </w:tr>
    </w:tbl>
    <w:p w:rsidR="00D10F00" w:rsidRPr="0077533A" w:rsidRDefault="00D10F00" w:rsidP="00D10F00">
      <w:pPr>
        <w:spacing w:after="0"/>
        <w:rPr>
          <w:sz w:val="16"/>
          <w:szCs w:val="16"/>
        </w:rPr>
      </w:pPr>
    </w:p>
    <w:tbl>
      <w:tblPr>
        <w:tblStyle w:val="Grilledutableau"/>
        <w:tblW w:w="0" w:type="auto"/>
        <w:tblLook w:val="04A0" w:firstRow="1" w:lastRow="0" w:firstColumn="1" w:lastColumn="0" w:noHBand="0" w:noVBand="1"/>
      </w:tblPr>
      <w:tblGrid>
        <w:gridCol w:w="2265"/>
        <w:gridCol w:w="2265"/>
        <w:gridCol w:w="2266"/>
        <w:gridCol w:w="2266"/>
      </w:tblGrid>
      <w:tr w:rsidR="00D10F00" w:rsidTr="00D10F00">
        <w:tc>
          <w:tcPr>
            <w:tcW w:w="2265" w:type="dxa"/>
            <w:shd w:val="clear" w:color="auto" w:fill="D6E3BC" w:themeFill="accent3" w:themeFillTint="66"/>
          </w:tcPr>
          <w:p w:rsidR="00D10F00" w:rsidRDefault="00D10F00" w:rsidP="00D10F00">
            <w:r>
              <w:t>Création</w:t>
            </w:r>
          </w:p>
        </w:tc>
        <w:tc>
          <w:tcPr>
            <w:tcW w:w="2265" w:type="dxa"/>
          </w:tcPr>
          <w:p w:rsidR="00D10F00" w:rsidRDefault="00D10F00" w:rsidP="00D10F00"/>
        </w:tc>
        <w:tc>
          <w:tcPr>
            <w:tcW w:w="2266" w:type="dxa"/>
            <w:shd w:val="clear" w:color="auto" w:fill="D6E3BC" w:themeFill="accent3" w:themeFillTint="66"/>
          </w:tcPr>
          <w:p w:rsidR="00D10F00" w:rsidRDefault="00D10F00" w:rsidP="00D10F00">
            <w:r>
              <w:t>Remplacement</w:t>
            </w:r>
          </w:p>
        </w:tc>
        <w:tc>
          <w:tcPr>
            <w:tcW w:w="2266" w:type="dxa"/>
          </w:tcPr>
          <w:p w:rsidR="00D10F00" w:rsidRDefault="00D10F00" w:rsidP="00D10F00"/>
        </w:tc>
      </w:tr>
    </w:tbl>
    <w:p w:rsidR="00D10F00" w:rsidRPr="0077533A" w:rsidRDefault="00D10F00" w:rsidP="00D10F00">
      <w:pPr>
        <w:spacing w:after="0"/>
        <w:rPr>
          <w:sz w:val="16"/>
          <w:szCs w:val="16"/>
        </w:rPr>
      </w:pPr>
    </w:p>
    <w:tbl>
      <w:tblPr>
        <w:tblStyle w:val="Grilledutableau"/>
        <w:tblW w:w="0" w:type="auto"/>
        <w:tblLook w:val="04A0" w:firstRow="1" w:lastRow="0" w:firstColumn="1" w:lastColumn="0" w:noHBand="0" w:noVBand="1"/>
      </w:tblPr>
      <w:tblGrid>
        <w:gridCol w:w="4034"/>
        <w:gridCol w:w="5028"/>
      </w:tblGrid>
      <w:tr w:rsidR="00D10F00" w:rsidTr="00D10F00">
        <w:tc>
          <w:tcPr>
            <w:tcW w:w="4034" w:type="dxa"/>
            <w:shd w:val="clear" w:color="auto" w:fill="D6E3BC" w:themeFill="accent3" w:themeFillTint="66"/>
          </w:tcPr>
          <w:p w:rsidR="00D10F00" w:rsidRDefault="00D10F00" w:rsidP="00513D42">
            <w:r>
              <w:t>Structure</w:t>
            </w:r>
          </w:p>
        </w:tc>
        <w:tc>
          <w:tcPr>
            <w:tcW w:w="5028" w:type="dxa"/>
          </w:tcPr>
          <w:p w:rsidR="00D10F00" w:rsidRDefault="002075AB" w:rsidP="00513D42">
            <w:r>
              <w:t>Délégation Départementale du Morbihan</w:t>
            </w:r>
          </w:p>
        </w:tc>
      </w:tr>
      <w:tr w:rsidR="00D10F00" w:rsidTr="00D10F00">
        <w:tc>
          <w:tcPr>
            <w:tcW w:w="4034" w:type="dxa"/>
            <w:shd w:val="clear" w:color="auto" w:fill="D6E3BC" w:themeFill="accent3" w:themeFillTint="66"/>
          </w:tcPr>
          <w:p w:rsidR="00D10F00" w:rsidRDefault="00D10F00" w:rsidP="00513D42">
            <w:r>
              <w:t>Direction de rattachement</w:t>
            </w:r>
          </w:p>
        </w:tc>
        <w:tc>
          <w:tcPr>
            <w:tcW w:w="5028" w:type="dxa"/>
          </w:tcPr>
          <w:p w:rsidR="00D10F00" w:rsidRPr="0030576B" w:rsidRDefault="002075AB" w:rsidP="00513D42">
            <w:r>
              <w:t>Département Santé Environnement</w:t>
            </w:r>
          </w:p>
        </w:tc>
      </w:tr>
      <w:tr w:rsidR="00D10F00" w:rsidTr="00D10F00">
        <w:tc>
          <w:tcPr>
            <w:tcW w:w="4034" w:type="dxa"/>
            <w:shd w:val="clear" w:color="auto" w:fill="D6E3BC" w:themeFill="accent3" w:themeFillTint="66"/>
          </w:tcPr>
          <w:p w:rsidR="00D10F00" w:rsidRDefault="00D10F00" w:rsidP="00513D42">
            <w:r>
              <w:t>Pôle</w:t>
            </w:r>
          </w:p>
        </w:tc>
        <w:tc>
          <w:tcPr>
            <w:tcW w:w="5028" w:type="dxa"/>
          </w:tcPr>
          <w:p w:rsidR="00D10F00" w:rsidRPr="002E2C61" w:rsidRDefault="002075AB" w:rsidP="00513D42">
            <w:r>
              <w:t>Pôle Eaux de Loisirs</w:t>
            </w:r>
          </w:p>
        </w:tc>
      </w:tr>
    </w:tbl>
    <w:p w:rsidR="00D10F00" w:rsidRPr="0077533A" w:rsidRDefault="00D10F00" w:rsidP="00D10F00">
      <w:pPr>
        <w:spacing w:after="0"/>
        <w:rPr>
          <w:sz w:val="16"/>
          <w:szCs w:val="16"/>
        </w:rPr>
      </w:pPr>
    </w:p>
    <w:tbl>
      <w:tblPr>
        <w:tblStyle w:val="Grilledutableau"/>
        <w:tblW w:w="0" w:type="auto"/>
        <w:tblLook w:val="04A0" w:firstRow="1" w:lastRow="0" w:firstColumn="1" w:lastColumn="0" w:noHBand="0" w:noVBand="1"/>
      </w:tblPr>
      <w:tblGrid>
        <w:gridCol w:w="1522"/>
        <w:gridCol w:w="7540"/>
      </w:tblGrid>
      <w:tr w:rsidR="00D10F00" w:rsidTr="002075AB">
        <w:tc>
          <w:tcPr>
            <w:tcW w:w="9062" w:type="dxa"/>
            <w:gridSpan w:val="2"/>
            <w:shd w:val="clear" w:color="auto" w:fill="D6E3BC" w:themeFill="accent3" w:themeFillTint="66"/>
          </w:tcPr>
          <w:p w:rsidR="00D10F00" w:rsidRDefault="00D10F00" w:rsidP="00513D42">
            <w:r>
              <w:t xml:space="preserve">Contexte </w:t>
            </w:r>
          </w:p>
        </w:tc>
      </w:tr>
      <w:tr w:rsidR="00D10F00" w:rsidTr="002075AB">
        <w:trPr>
          <w:trHeight w:val="5830"/>
        </w:trPr>
        <w:tc>
          <w:tcPr>
            <w:tcW w:w="9062" w:type="dxa"/>
            <w:gridSpan w:val="2"/>
          </w:tcPr>
          <w:p w:rsidR="002075AB" w:rsidRPr="002075AB" w:rsidRDefault="002075AB" w:rsidP="002075AB">
            <w:pPr>
              <w:spacing w:before="120"/>
              <w:jc w:val="both"/>
              <w:rPr>
                <w:color w:val="000000" w:themeColor="text1"/>
              </w:rPr>
            </w:pPr>
            <w:r w:rsidRPr="002075AB">
              <w:rPr>
                <w:rFonts w:cs="Arial"/>
                <w:color w:val="000000" w:themeColor="text1"/>
              </w:rPr>
              <w:t xml:space="preserve">L’Agence régionale de Santé Bretagne (ARS), établissement public sous tutelle du ministère en charge de la santé, met en œuvre la politique régionale de santé en organisant la régulation de l’offre de soins et en assurant le pilotage </w:t>
            </w:r>
            <w:r w:rsidRPr="002075AB">
              <w:rPr>
                <w:color w:val="000000" w:themeColor="text1"/>
              </w:rPr>
              <w:t xml:space="preserve">de la santé publique, en liaison avec les préfets. Dans le secteur de la </w:t>
            </w:r>
            <w:hyperlink r:id="rId8" w:tooltip="Santé-environnement" w:history="1">
              <w:r w:rsidRPr="002075AB">
                <w:rPr>
                  <w:rStyle w:val="Lienhypertexte"/>
                  <w:color w:val="000000" w:themeColor="text1"/>
                  <w:u w:val="none"/>
                </w:rPr>
                <w:t>santé environnement</w:t>
              </w:r>
            </w:hyperlink>
            <w:r w:rsidRPr="002075AB">
              <w:rPr>
                <w:color w:val="000000" w:themeColor="text1"/>
              </w:rPr>
              <w:t>ale, l’ARS assure des missions de contrôle, de prévention, évaluation et gestion des risques sanitaires et de communication. Son champ de compétences comprend notamment les eaux d’alimentation, les eaux récréatives, les problématiques de santé dans l’habitat, les nuisances sonores et l’impact sur la santé des activités humaines.</w:t>
            </w:r>
          </w:p>
          <w:p w:rsidR="002075AB" w:rsidRPr="002075AB" w:rsidRDefault="002075AB" w:rsidP="002075AB">
            <w:pPr>
              <w:jc w:val="both"/>
              <w:rPr>
                <w:rFonts w:cs="Arial"/>
                <w:color w:val="000000" w:themeColor="text1"/>
                <w:highlight w:val="yellow"/>
              </w:rPr>
            </w:pPr>
          </w:p>
          <w:p w:rsidR="002075AB" w:rsidRPr="002075AB" w:rsidRDefault="002075AB" w:rsidP="002075AB">
            <w:pPr>
              <w:jc w:val="both"/>
              <w:rPr>
                <w:rStyle w:val="Lienhypertexte"/>
                <w:color w:val="000000" w:themeColor="text1"/>
                <w:u w:val="none"/>
              </w:rPr>
            </w:pPr>
            <w:r w:rsidRPr="002075AB">
              <w:rPr>
                <w:rStyle w:val="Lienhypertexte"/>
                <w:color w:val="000000" w:themeColor="text1"/>
                <w:u w:val="none"/>
              </w:rPr>
              <w:t xml:space="preserve">L’ARS met en œuvre le contrôle sanitaire des eaux de baignade et des établissements de bain, en application de la réglementation communautaire et nationale. Dans le Morbihan, département très touristique, cette activité concerne près de 140 sites de baignade et 250 établissements de bain (piscines et thalassothérapies). </w:t>
            </w:r>
          </w:p>
          <w:p w:rsidR="002075AB" w:rsidRPr="002075AB" w:rsidRDefault="002075AB" w:rsidP="002075AB">
            <w:pPr>
              <w:jc w:val="both"/>
              <w:rPr>
                <w:rStyle w:val="Lienhypertexte"/>
                <w:color w:val="000000" w:themeColor="text1"/>
                <w:u w:val="none"/>
              </w:rPr>
            </w:pPr>
          </w:p>
          <w:p w:rsidR="002075AB" w:rsidRPr="002075AB" w:rsidRDefault="002075AB" w:rsidP="002075AB">
            <w:pPr>
              <w:jc w:val="both"/>
              <w:rPr>
                <w:rStyle w:val="Lienhypertexte"/>
                <w:color w:val="000000" w:themeColor="text1"/>
                <w:u w:val="none"/>
              </w:rPr>
            </w:pPr>
            <w:r w:rsidRPr="002075AB">
              <w:rPr>
                <w:rStyle w:val="Lienhypertexte"/>
                <w:color w:val="000000" w:themeColor="text1"/>
                <w:u w:val="none"/>
              </w:rPr>
              <w:t xml:space="preserve">La délégation morbihannaise de l’ARS Bretagne est implantée à Vannes, préfecture du </w:t>
            </w:r>
            <w:hyperlink r:id="rId9" w:tooltip="Département français" w:history="1">
              <w:r w:rsidRPr="002075AB">
                <w:rPr>
                  <w:rStyle w:val="Lienhypertexte"/>
                  <w:color w:val="000000" w:themeColor="text1"/>
                  <w:u w:val="none"/>
                </w:rPr>
                <w:t>département</w:t>
              </w:r>
            </w:hyperlink>
            <w:r w:rsidRPr="002075AB">
              <w:rPr>
                <w:rStyle w:val="Lienhypertexte"/>
                <w:color w:val="000000" w:themeColor="text1"/>
                <w:u w:val="none"/>
              </w:rPr>
              <w:t xml:space="preserve"> et siège d'une </w:t>
            </w:r>
            <w:hyperlink r:id="rId10" w:tooltip="Vannes agglo - Golfe du Morbihan" w:history="1">
              <w:r w:rsidRPr="002075AB">
                <w:rPr>
                  <w:rStyle w:val="Lienhypertexte"/>
                  <w:color w:val="000000" w:themeColor="text1"/>
                  <w:u w:val="none"/>
                </w:rPr>
                <w:t>agglomération</w:t>
              </w:r>
            </w:hyperlink>
            <w:r w:rsidRPr="002075AB">
              <w:rPr>
                <w:rStyle w:val="Lienhypertexte"/>
                <w:color w:val="000000" w:themeColor="text1"/>
                <w:u w:val="none"/>
              </w:rPr>
              <w:t xml:space="preserve"> de près de 140 000 habitants. Vannes, 4</w:t>
            </w:r>
            <w:r w:rsidRPr="002075AB">
              <w:rPr>
                <w:rStyle w:val="Lienhypertexte"/>
                <w:color w:val="000000" w:themeColor="text1"/>
                <w:u w:val="none"/>
                <w:vertAlign w:val="superscript"/>
              </w:rPr>
              <w:t>ème</w:t>
            </w:r>
            <w:r w:rsidRPr="002075AB">
              <w:rPr>
                <w:rStyle w:val="Lienhypertexte"/>
                <w:color w:val="000000" w:themeColor="text1"/>
                <w:u w:val="none"/>
              </w:rPr>
              <w:t xml:space="preserve"> </w:t>
            </w:r>
            <w:hyperlink r:id="rId11" w:tooltip="Vannes agglo - Golfe du Morbihan" w:history="1">
              <w:r w:rsidRPr="002075AB">
                <w:rPr>
                  <w:rStyle w:val="Lienhypertexte"/>
                  <w:color w:val="000000" w:themeColor="text1"/>
                  <w:u w:val="none"/>
                </w:rPr>
                <w:t>agglomération</w:t>
              </w:r>
            </w:hyperlink>
            <w:r w:rsidRPr="002075AB">
              <w:rPr>
                <w:rStyle w:val="Lienhypertexte"/>
                <w:color w:val="000000" w:themeColor="text1"/>
                <w:u w:val="none"/>
              </w:rPr>
              <w:t xml:space="preserve"> de la </w:t>
            </w:r>
            <w:hyperlink r:id="rId12" w:tooltip="Région Bretagne" w:history="1">
              <w:r w:rsidRPr="002075AB">
                <w:rPr>
                  <w:rStyle w:val="Lienhypertexte"/>
                  <w:color w:val="000000" w:themeColor="text1"/>
                  <w:u w:val="none"/>
                </w:rPr>
                <w:t>région Bretagne</w:t>
              </w:r>
            </w:hyperlink>
            <w:hyperlink r:id="rId13" w:anchor="cite_note-CA_Pays_de_Vannes-5" w:history="1">
              <w:r w:rsidRPr="002075AB">
                <w:rPr>
                  <w:rStyle w:val="Lienhypertexte"/>
                  <w:color w:val="000000" w:themeColor="text1"/>
                  <w:u w:val="none"/>
                </w:rPr>
                <w:t xml:space="preserve"> </w:t>
              </w:r>
            </w:hyperlink>
            <w:r w:rsidRPr="002075AB">
              <w:rPr>
                <w:rStyle w:val="Lienhypertexte"/>
                <w:color w:val="000000" w:themeColor="text1"/>
                <w:u w:val="none"/>
              </w:rPr>
              <w:t xml:space="preserve">est aussi la porte d’entrée principale du Golfe du Morbihan. </w:t>
            </w:r>
          </w:p>
          <w:p w:rsidR="002075AB" w:rsidRPr="002075AB" w:rsidRDefault="002075AB" w:rsidP="002075AB">
            <w:pPr>
              <w:jc w:val="both"/>
              <w:rPr>
                <w:rStyle w:val="Lienhypertexte"/>
                <w:color w:val="000000" w:themeColor="text1"/>
                <w:u w:val="none"/>
              </w:rPr>
            </w:pPr>
          </w:p>
          <w:p w:rsidR="00D10F00" w:rsidRPr="002075AB" w:rsidRDefault="002075AB" w:rsidP="002075AB">
            <w:pPr>
              <w:jc w:val="both"/>
              <w:rPr>
                <w:b/>
                <w:color w:val="000000" w:themeColor="text1"/>
              </w:rPr>
            </w:pPr>
            <w:r w:rsidRPr="002075AB">
              <w:rPr>
                <w:rFonts w:cs="Arial"/>
                <w:color w:val="000000" w:themeColor="text1"/>
              </w:rPr>
              <w:t>Composé d’un département Santé-Environnement et d’un département Animation Territoriale, l’effectif de la délégation départementale est d’environ 40 agents. Placé sous la responsabilité de l’ingénieur en charge du</w:t>
            </w:r>
            <w:r w:rsidRPr="002075AB">
              <w:rPr>
                <w:bCs/>
                <w:color w:val="000000" w:themeColor="text1"/>
              </w:rPr>
              <w:t xml:space="preserve"> pôle « eaux de loisirs », vous travaillez en collaboration avec les 2 autres techniciens sanitaires de l’équipe et le secrétariat du département Santé-Environnement.</w:t>
            </w:r>
          </w:p>
          <w:p w:rsidR="002075AB" w:rsidRDefault="002075AB" w:rsidP="00513D42">
            <w:pPr>
              <w:jc w:val="both"/>
            </w:pPr>
          </w:p>
        </w:tc>
      </w:tr>
      <w:tr w:rsidR="00D10F00" w:rsidTr="002075AB">
        <w:tc>
          <w:tcPr>
            <w:tcW w:w="9062" w:type="dxa"/>
            <w:gridSpan w:val="2"/>
          </w:tcPr>
          <w:p w:rsidR="0077533A" w:rsidRPr="002075AB" w:rsidRDefault="0077533A" w:rsidP="002075AB">
            <w:pPr>
              <w:jc w:val="both"/>
              <w:rPr>
                <w:sz w:val="8"/>
                <w:szCs w:val="8"/>
              </w:rPr>
            </w:pPr>
          </w:p>
        </w:tc>
      </w:tr>
      <w:tr w:rsidR="00D10F00" w:rsidTr="002075AB">
        <w:tc>
          <w:tcPr>
            <w:tcW w:w="9062" w:type="dxa"/>
            <w:gridSpan w:val="2"/>
            <w:shd w:val="clear" w:color="auto" w:fill="D6E3BC" w:themeFill="accent3" w:themeFillTint="66"/>
          </w:tcPr>
          <w:p w:rsidR="00D10F00" w:rsidRDefault="00D10F00" w:rsidP="00513D42">
            <w:r>
              <w:br w:type="page"/>
              <w:t>Missions/Activités</w:t>
            </w:r>
          </w:p>
        </w:tc>
      </w:tr>
      <w:tr w:rsidR="002075AB" w:rsidTr="002075AB">
        <w:tc>
          <w:tcPr>
            <w:tcW w:w="9062" w:type="dxa"/>
            <w:gridSpan w:val="2"/>
          </w:tcPr>
          <w:p w:rsidR="002075AB" w:rsidRDefault="002075AB" w:rsidP="002075AB">
            <w:pPr>
              <w:pStyle w:val="Paragraphedeliste"/>
              <w:numPr>
                <w:ilvl w:val="0"/>
                <w:numId w:val="21"/>
              </w:numPr>
              <w:spacing w:before="120" w:after="120"/>
              <w:ind w:left="426" w:hanging="426"/>
              <w:contextualSpacing w:val="0"/>
              <w:jc w:val="both"/>
            </w:pPr>
            <w:r>
              <w:t>Assurer le suivi de la programmation du contrôle sanitaire des eaux de piscine et des eaux de baignade, en relation avec le laboratoire départemental d’analyses du Morbihan et les autres techniciens du pôle « eaux de loisirs ».</w:t>
            </w:r>
          </w:p>
          <w:p w:rsidR="002075AB" w:rsidRDefault="002075AB" w:rsidP="002075AB">
            <w:pPr>
              <w:pStyle w:val="Paragraphedeliste"/>
              <w:numPr>
                <w:ilvl w:val="0"/>
                <w:numId w:val="21"/>
              </w:numPr>
              <w:spacing w:before="120" w:after="120"/>
              <w:ind w:left="426" w:hanging="426"/>
              <w:contextualSpacing w:val="0"/>
              <w:jc w:val="both"/>
            </w:pPr>
            <w:r>
              <w:lastRenderedPageBreak/>
              <w:t>Valider, interpréter et communiquer les résultats du contrôle sanitaire aux collectivités et gestionnaires des établissements de bain.</w:t>
            </w:r>
          </w:p>
          <w:p w:rsidR="002075AB" w:rsidRDefault="002075AB" w:rsidP="002075AB">
            <w:pPr>
              <w:pStyle w:val="Paragraphedeliste"/>
              <w:numPr>
                <w:ilvl w:val="0"/>
                <w:numId w:val="21"/>
              </w:numPr>
              <w:spacing w:before="120" w:after="120"/>
              <w:ind w:left="426" w:hanging="426"/>
              <w:contextualSpacing w:val="0"/>
              <w:jc w:val="both"/>
            </w:pPr>
            <w:r>
              <w:t>Gérer les alertes sanitaires.</w:t>
            </w:r>
          </w:p>
          <w:p w:rsidR="002075AB" w:rsidRPr="00C418A9" w:rsidRDefault="002075AB" w:rsidP="002075AB">
            <w:pPr>
              <w:pStyle w:val="Paragraphedeliste"/>
              <w:numPr>
                <w:ilvl w:val="0"/>
                <w:numId w:val="21"/>
              </w:numPr>
              <w:spacing w:before="120" w:after="120"/>
              <w:ind w:left="426" w:hanging="426"/>
              <w:contextualSpacing w:val="0"/>
              <w:jc w:val="both"/>
            </w:pPr>
            <w:r>
              <w:t>Bancariser les données du contrôle sanitaire dans les bases de données SISE-Eaux et SISE-Baignades.</w:t>
            </w:r>
          </w:p>
        </w:tc>
      </w:tr>
      <w:tr w:rsidR="002075AB" w:rsidTr="002075AB">
        <w:tc>
          <w:tcPr>
            <w:tcW w:w="9062" w:type="dxa"/>
            <w:gridSpan w:val="2"/>
            <w:shd w:val="clear" w:color="auto" w:fill="D6E3BC" w:themeFill="accent3" w:themeFillTint="66"/>
          </w:tcPr>
          <w:p w:rsidR="002075AB" w:rsidRDefault="002075AB" w:rsidP="002075AB">
            <w:r>
              <w:lastRenderedPageBreak/>
              <w:t>Catégorie/Corps-Grade/Niveau</w:t>
            </w:r>
          </w:p>
        </w:tc>
      </w:tr>
      <w:tr w:rsidR="002075AB" w:rsidTr="002075AB">
        <w:tc>
          <w:tcPr>
            <w:tcW w:w="9062" w:type="dxa"/>
            <w:gridSpan w:val="2"/>
          </w:tcPr>
          <w:p w:rsidR="002075AB" w:rsidRDefault="002075AB" w:rsidP="002075AB"/>
          <w:p w:rsidR="002075AB" w:rsidRPr="0032374B" w:rsidRDefault="002075AB" w:rsidP="002075AB">
            <w:pPr>
              <w:pStyle w:val="Paragraphedeliste"/>
              <w:numPr>
                <w:ilvl w:val="0"/>
                <w:numId w:val="21"/>
              </w:numPr>
              <w:spacing w:before="120" w:after="120"/>
              <w:ind w:left="426" w:hanging="426"/>
              <w:contextualSpacing w:val="0"/>
              <w:jc w:val="both"/>
            </w:pPr>
            <w:r>
              <w:rPr>
                <w:rFonts w:ascii="Calibri" w:hAnsi="Calibri" w:cs="Arial"/>
              </w:rPr>
              <w:t xml:space="preserve"> </w:t>
            </w:r>
            <w:r>
              <w:t xml:space="preserve">Niveau BAC +2 dans le domaine de l’environnement, de l’eau. </w:t>
            </w:r>
          </w:p>
          <w:p w:rsidR="002075AB" w:rsidRDefault="002075AB" w:rsidP="002075AB">
            <w:pPr>
              <w:pStyle w:val="Paragraphedeliste"/>
              <w:numPr>
                <w:ilvl w:val="0"/>
                <w:numId w:val="21"/>
              </w:numPr>
              <w:spacing w:before="120" w:after="120"/>
              <w:ind w:left="426" w:hanging="426"/>
              <w:contextualSpacing w:val="0"/>
              <w:jc w:val="both"/>
            </w:pPr>
            <w:r>
              <w:t xml:space="preserve">Une </w:t>
            </w:r>
            <w:r w:rsidRPr="0032374B">
              <w:t xml:space="preserve">connaissance </w:t>
            </w:r>
            <w:r>
              <w:t xml:space="preserve">des bases de données informatiques </w:t>
            </w:r>
            <w:r w:rsidRPr="0032374B">
              <w:t>serait un plus</w:t>
            </w:r>
            <w:r>
              <w:t xml:space="preserve">. </w:t>
            </w:r>
          </w:p>
          <w:p w:rsidR="002075AB" w:rsidRPr="002075AB" w:rsidRDefault="002075AB" w:rsidP="002075AB">
            <w:pPr>
              <w:pStyle w:val="Paragraphedeliste"/>
              <w:numPr>
                <w:ilvl w:val="0"/>
                <w:numId w:val="21"/>
              </w:numPr>
              <w:spacing w:before="120" w:after="120"/>
              <w:ind w:left="426" w:hanging="426"/>
              <w:contextualSpacing w:val="0"/>
              <w:jc w:val="both"/>
            </w:pPr>
            <w:r>
              <w:t>Permis B (déplacements ponctuels possibles).</w:t>
            </w:r>
          </w:p>
        </w:tc>
      </w:tr>
      <w:tr w:rsidR="002075AB" w:rsidTr="002075AB">
        <w:trPr>
          <w:trHeight w:val="324"/>
        </w:trPr>
        <w:tc>
          <w:tcPr>
            <w:tcW w:w="9062" w:type="dxa"/>
            <w:gridSpan w:val="2"/>
            <w:tcBorders>
              <w:top w:val="nil"/>
              <w:left w:val="nil"/>
              <w:bottom w:val="nil"/>
              <w:right w:val="nil"/>
            </w:tcBorders>
            <w:shd w:val="clear" w:color="auto" w:fill="FFFFFF" w:themeFill="background1"/>
          </w:tcPr>
          <w:p w:rsidR="002075AB" w:rsidRDefault="002075AB" w:rsidP="002075AB"/>
        </w:tc>
      </w:tr>
      <w:tr w:rsidR="002075AB" w:rsidTr="002075AB">
        <w:trPr>
          <w:trHeight w:val="324"/>
        </w:trPr>
        <w:tc>
          <w:tcPr>
            <w:tcW w:w="9062" w:type="dxa"/>
            <w:gridSpan w:val="2"/>
            <w:tcBorders>
              <w:top w:val="single" w:sz="4" w:space="0" w:color="auto"/>
            </w:tcBorders>
            <w:shd w:val="clear" w:color="auto" w:fill="D6E3BC" w:themeFill="accent3" w:themeFillTint="66"/>
          </w:tcPr>
          <w:p w:rsidR="002075AB" w:rsidRDefault="002075AB" w:rsidP="002075AB">
            <w:r>
              <w:t>Compétences</w:t>
            </w:r>
          </w:p>
        </w:tc>
      </w:tr>
      <w:tr w:rsidR="002075AB" w:rsidTr="002075AB">
        <w:tc>
          <w:tcPr>
            <w:tcW w:w="1522" w:type="dxa"/>
            <w:shd w:val="clear" w:color="auto" w:fill="FFFFFF" w:themeFill="background1"/>
          </w:tcPr>
          <w:p w:rsidR="002075AB" w:rsidRDefault="002075AB" w:rsidP="002075AB">
            <w:r>
              <w:t>Savoir</w:t>
            </w:r>
          </w:p>
        </w:tc>
        <w:tc>
          <w:tcPr>
            <w:tcW w:w="7540" w:type="dxa"/>
            <w:shd w:val="clear" w:color="auto" w:fill="FFFFFF" w:themeFill="background1"/>
          </w:tcPr>
          <w:p w:rsidR="002075AB" w:rsidRDefault="002075AB" w:rsidP="002075AB">
            <w:pPr>
              <w:numPr>
                <w:ilvl w:val="0"/>
                <w:numId w:val="4"/>
              </w:numPr>
              <w:spacing w:after="60"/>
              <w:ind w:left="301" w:hanging="301"/>
            </w:pPr>
            <w:r>
              <w:t>S</w:t>
            </w:r>
            <w:r w:rsidRPr="00C30C94">
              <w:t>ciences et techniques dans le domaine de l’environnement</w:t>
            </w:r>
            <w:r>
              <w:t>, des risques, de l’eau</w:t>
            </w:r>
          </w:p>
          <w:p w:rsidR="002075AB" w:rsidRDefault="002075AB" w:rsidP="002075AB">
            <w:pPr>
              <w:numPr>
                <w:ilvl w:val="0"/>
                <w:numId w:val="4"/>
              </w:numPr>
              <w:spacing w:after="60"/>
              <w:ind w:left="301" w:hanging="301"/>
            </w:pPr>
            <w:r w:rsidRPr="00C30C94">
              <w:t xml:space="preserve">Réglementation </w:t>
            </w:r>
            <w:r>
              <w:t>sanitaire dans les domaines d’intervention</w:t>
            </w:r>
          </w:p>
          <w:p w:rsidR="002075AB" w:rsidRDefault="002075AB" w:rsidP="002075AB">
            <w:pPr>
              <w:numPr>
                <w:ilvl w:val="0"/>
                <w:numId w:val="4"/>
              </w:numPr>
              <w:spacing w:after="60"/>
              <w:ind w:left="301" w:hanging="301"/>
            </w:pPr>
            <w:r>
              <w:t>E</w:t>
            </w:r>
            <w:r w:rsidRPr="00C30C94">
              <w:t>nvironnement institutionnel et partenarial,</w:t>
            </w:r>
            <w:r>
              <w:t xml:space="preserve"> acteurs de la santé publique</w:t>
            </w:r>
          </w:p>
        </w:tc>
      </w:tr>
      <w:tr w:rsidR="002075AB" w:rsidTr="002075AB">
        <w:tc>
          <w:tcPr>
            <w:tcW w:w="1522" w:type="dxa"/>
            <w:shd w:val="clear" w:color="auto" w:fill="FFFFFF" w:themeFill="background1"/>
          </w:tcPr>
          <w:p w:rsidR="002075AB" w:rsidRDefault="002075AB" w:rsidP="002075AB">
            <w:r>
              <w:t>Savoir -faire</w:t>
            </w:r>
          </w:p>
        </w:tc>
        <w:tc>
          <w:tcPr>
            <w:tcW w:w="7540" w:type="dxa"/>
            <w:shd w:val="clear" w:color="auto" w:fill="FFFFFF" w:themeFill="background1"/>
          </w:tcPr>
          <w:p w:rsidR="002075AB" w:rsidRPr="00520084" w:rsidRDefault="002075AB" w:rsidP="002075AB">
            <w:pPr>
              <w:numPr>
                <w:ilvl w:val="0"/>
                <w:numId w:val="19"/>
              </w:numPr>
              <w:spacing w:after="60"/>
              <w:jc w:val="both"/>
            </w:pPr>
            <w:r w:rsidRPr="00520084">
              <w:t>Recueillir</w:t>
            </w:r>
            <w:r>
              <w:t xml:space="preserve">, analyser </w:t>
            </w:r>
            <w:r w:rsidRPr="00520084">
              <w:t>et traiter l’information</w:t>
            </w:r>
          </w:p>
          <w:p w:rsidR="002075AB" w:rsidRDefault="002075AB" w:rsidP="002075AB">
            <w:pPr>
              <w:numPr>
                <w:ilvl w:val="0"/>
                <w:numId w:val="19"/>
              </w:numPr>
              <w:spacing w:after="60"/>
              <w:jc w:val="both"/>
            </w:pPr>
            <w:r w:rsidRPr="00520084">
              <w:t>Maîtriser les outils de communication écrite et orale</w:t>
            </w:r>
          </w:p>
          <w:p w:rsidR="002075AB" w:rsidRPr="00520084" w:rsidRDefault="002075AB" w:rsidP="002075AB">
            <w:pPr>
              <w:numPr>
                <w:ilvl w:val="0"/>
                <w:numId w:val="19"/>
              </w:numPr>
              <w:spacing w:after="60"/>
              <w:jc w:val="both"/>
              <w:rPr>
                <w:rFonts w:cs="Arial"/>
              </w:rPr>
            </w:pPr>
            <w:r>
              <w:t>Maitriser le</w:t>
            </w:r>
            <w:r w:rsidRPr="00520084">
              <w:t>s systèmes d’exploitation</w:t>
            </w:r>
            <w:r>
              <w:t xml:space="preserve"> et les </w:t>
            </w:r>
            <w:r w:rsidRPr="00520084">
              <w:t xml:space="preserve">outils bureautiques </w:t>
            </w:r>
            <w:r>
              <w:t>spécifiques</w:t>
            </w:r>
          </w:p>
          <w:p w:rsidR="002075AB" w:rsidRDefault="002075AB" w:rsidP="002075AB">
            <w:pPr>
              <w:pStyle w:val="Paragraphedeliste"/>
              <w:numPr>
                <w:ilvl w:val="0"/>
                <w:numId w:val="19"/>
              </w:numPr>
            </w:pPr>
            <w:r>
              <w:t>Savoir travailler en équipe</w:t>
            </w:r>
          </w:p>
        </w:tc>
      </w:tr>
      <w:tr w:rsidR="002075AB" w:rsidTr="002075AB">
        <w:trPr>
          <w:trHeight w:val="784"/>
        </w:trPr>
        <w:tc>
          <w:tcPr>
            <w:tcW w:w="1522" w:type="dxa"/>
            <w:shd w:val="clear" w:color="auto" w:fill="FFFFFF" w:themeFill="background1"/>
          </w:tcPr>
          <w:p w:rsidR="002075AB" w:rsidRDefault="002075AB" w:rsidP="002075AB">
            <w:r>
              <w:t>Savoir-être</w:t>
            </w:r>
          </w:p>
        </w:tc>
        <w:tc>
          <w:tcPr>
            <w:tcW w:w="7540" w:type="dxa"/>
            <w:shd w:val="clear" w:color="auto" w:fill="FFFFFF" w:themeFill="background1"/>
          </w:tcPr>
          <w:p w:rsidR="002075AB" w:rsidRDefault="002075AB" w:rsidP="002075AB">
            <w:pPr>
              <w:pStyle w:val="Paragraphedeliste"/>
              <w:numPr>
                <w:ilvl w:val="0"/>
                <w:numId w:val="19"/>
              </w:numPr>
            </w:pPr>
            <w:r>
              <w:t>Faire preuve de rigueur, d’autonomie et de réactivité</w:t>
            </w:r>
          </w:p>
          <w:p w:rsidR="002075AB" w:rsidRDefault="002075AB" w:rsidP="002075AB">
            <w:pPr>
              <w:pStyle w:val="Paragraphedeliste"/>
              <w:numPr>
                <w:ilvl w:val="0"/>
                <w:numId w:val="19"/>
              </w:numPr>
            </w:pPr>
            <w:r>
              <w:t>Avoir une capacité d’initiative et de bonnes aptitudes relationnelles</w:t>
            </w:r>
          </w:p>
          <w:p w:rsidR="002075AB" w:rsidRDefault="002075AB" w:rsidP="002075AB">
            <w:pPr>
              <w:pStyle w:val="Paragraphedeliste"/>
              <w:numPr>
                <w:ilvl w:val="0"/>
                <w:numId w:val="19"/>
              </w:numPr>
            </w:pPr>
            <w:r>
              <w:t>Adapter sa posture en fonction des interlocuteurs et des situations</w:t>
            </w:r>
          </w:p>
          <w:p w:rsidR="002075AB" w:rsidRDefault="002075AB" w:rsidP="002075AB">
            <w:pPr>
              <w:pStyle w:val="Paragraphedeliste"/>
              <w:numPr>
                <w:ilvl w:val="0"/>
                <w:numId w:val="19"/>
              </w:numPr>
            </w:pPr>
            <w:r>
              <w:t>Avoir le sens du service public, savoir représenter l’Etat</w:t>
            </w:r>
          </w:p>
        </w:tc>
      </w:tr>
    </w:tbl>
    <w:p w:rsidR="00D10F00" w:rsidRDefault="00D10F00" w:rsidP="00D10F00"/>
    <w:tbl>
      <w:tblPr>
        <w:tblStyle w:val="Grilledutableau"/>
        <w:tblW w:w="0" w:type="auto"/>
        <w:tblLook w:val="04A0" w:firstRow="1" w:lastRow="0" w:firstColumn="1" w:lastColumn="0" w:noHBand="0" w:noVBand="1"/>
      </w:tblPr>
      <w:tblGrid>
        <w:gridCol w:w="4506"/>
        <w:gridCol w:w="4556"/>
      </w:tblGrid>
      <w:tr w:rsidR="00D10F00" w:rsidTr="00D10F00">
        <w:trPr>
          <w:trHeight w:val="380"/>
        </w:trPr>
        <w:tc>
          <w:tcPr>
            <w:tcW w:w="4506" w:type="dxa"/>
            <w:shd w:val="clear" w:color="auto" w:fill="D6E3BC" w:themeFill="accent3" w:themeFillTint="66"/>
          </w:tcPr>
          <w:p w:rsidR="00D10F00" w:rsidRPr="00733227" w:rsidRDefault="00D10F00" w:rsidP="00513D42">
            <w:r w:rsidRPr="00733227">
              <w:t>C</w:t>
            </w:r>
            <w:r w:rsidRPr="009B31B0">
              <w:t>ontact</w:t>
            </w:r>
          </w:p>
        </w:tc>
        <w:tc>
          <w:tcPr>
            <w:tcW w:w="4556" w:type="dxa"/>
          </w:tcPr>
          <w:p w:rsidR="00D10F00" w:rsidRDefault="00D10F00" w:rsidP="00513D42">
            <w:r>
              <w:t>ars-bretagne-recrutement@ars.sante.fr</w:t>
            </w:r>
          </w:p>
        </w:tc>
      </w:tr>
      <w:tr w:rsidR="00D10F00" w:rsidTr="00D10F00">
        <w:trPr>
          <w:trHeight w:val="380"/>
        </w:trPr>
        <w:tc>
          <w:tcPr>
            <w:tcW w:w="4506" w:type="dxa"/>
            <w:shd w:val="clear" w:color="auto" w:fill="D6E3BC" w:themeFill="accent3" w:themeFillTint="66"/>
          </w:tcPr>
          <w:p w:rsidR="00D10F00" w:rsidRPr="00733227" w:rsidRDefault="00D10F00" w:rsidP="00513D42">
            <w:r w:rsidRPr="00733227">
              <w:t>Date limite de dépôt des CV et LM</w:t>
            </w:r>
          </w:p>
        </w:tc>
        <w:tc>
          <w:tcPr>
            <w:tcW w:w="4556" w:type="dxa"/>
            <w:shd w:val="clear" w:color="auto" w:fill="FFFFFF" w:themeFill="background1"/>
          </w:tcPr>
          <w:p w:rsidR="00D10F00" w:rsidRDefault="002075AB" w:rsidP="00513D42">
            <w:r>
              <w:t>20/03</w:t>
            </w:r>
            <w:r w:rsidR="00D10F00">
              <w:t>/2021</w:t>
            </w:r>
          </w:p>
        </w:tc>
      </w:tr>
      <w:tr w:rsidR="00D10F00" w:rsidTr="00D10F00">
        <w:trPr>
          <w:trHeight w:val="380"/>
        </w:trPr>
        <w:tc>
          <w:tcPr>
            <w:tcW w:w="4506" w:type="dxa"/>
            <w:shd w:val="clear" w:color="auto" w:fill="D6E3BC" w:themeFill="accent3" w:themeFillTint="66"/>
          </w:tcPr>
          <w:p w:rsidR="00D10F00" w:rsidRPr="00733227" w:rsidRDefault="00D10F00" w:rsidP="00513D42">
            <w:r>
              <w:t xml:space="preserve">Date des entretiens </w:t>
            </w:r>
          </w:p>
        </w:tc>
        <w:tc>
          <w:tcPr>
            <w:tcW w:w="4556" w:type="dxa"/>
          </w:tcPr>
          <w:p w:rsidR="00D10F00" w:rsidRDefault="00D10F00" w:rsidP="00513D42"/>
        </w:tc>
      </w:tr>
    </w:tbl>
    <w:p w:rsidR="00B52C6C" w:rsidRPr="00383354" w:rsidRDefault="00B52C6C" w:rsidP="00B52C6C">
      <w:pPr>
        <w:tabs>
          <w:tab w:val="center" w:pos="7088"/>
        </w:tabs>
      </w:pPr>
    </w:p>
    <w:p w:rsidR="00B52C6C" w:rsidRPr="00383354" w:rsidRDefault="00B52C6C" w:rsidP="00B52C6C">
      <w:pPr>
        <w:tabs>
          <w:tab w:val="center" w:pos="7088"/>
        </w:tabs>
      </w:pPr>
    </w:p>
    <w:p w:rsidR="00B66867" w:rsidRPr="00B709F9" w:rsidRDefault="00B66867" w:rsidP="00945F89"/>
    <w:sectPr w:rsidR="00B66867" w:rsidRPr="00B709F9" w:rsidSect="0077533A">
      <w:footerReference w:type="default" r:id="rId14"/>
      <w:headerReference w:type="first" r:id="rId15"/>
      <w:footerReference w:type="first" r:id="rId16"/>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F1" w:rsidRDefault="009306F1" w:rsidP="001D0B64">
      <w:pPr>
        <w:spacing w:after="0" w:line="240" w:lineRule="auto"/>
      </w:pPr>
      <w:r>
        <w:separator/>
      </w:r>
    </w:p>
  </w:endnote>
  <w:endnote w:type="continuationSeparator" w:id="0">
    <w:p w:rsidR="009306F1" w:rsidRDefault="009306F1" w:rsidP="001D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C8" w:rsidRPr="008963DA" w:rsidRDefault="00F83AC8" w:rsidP="00F83AC8">
    <w:pPr>
      <w:pStyle w:val="Pieddepage"/>
      <w:rPr>
        <w:color w:val="939598"/>
        <w:sz w:val="14"/>
      </w:rPr>
    </w:pPr>
    <w:r w:rsidRPr="008963DA">
      <w:rPr>
        <w:color w:val="939598"/>
        <w:sz w:val="14"/>
      </w:rPr>
      <w:t xml:space="preserve">Mél : </w:t>
    </w:r>
    <w:r>
      <w:rPr>
        <w:color w:val="939598"/>
        <w:sz w:val="14"/>
      </w:rPr>
      <w:t>ars-bretagne-recrutement@ars.sante.fr</w:t>
    </w:r>
  </w:p>
  <w:sdt>
    <w:sdtPr>
      <w:rPr>
        <w:rStyle w:val="Numrodepage"/>
        <w:sz w:val="14"/>
        <w:szCs w:val="14"/>
      </w:rPr>
      <w:id w:val="421614069"/>
      <w:docPartObj>
        <w:docPartGallery w:val="Page Numbers (Bottom of Page)"/>
        <w:docPartUnique/>
      </w:docPartObj>
    </w:sdtPr>
    <w:sdtEndPr>
      <w:rPr>
        <w:rStyle w:val="Numrodepage"/>
      </w:rPr>
    </w:sdtEndPr>
    <w:sdtContent>
      <w:p w:rsidR="00F83AC8" w:rsidRPr="00936E45" w:rsidRDefault="00F83AC8" w:rsidP="00F83AC8">
        <w:pPr>
          <w:pStyle w:val="Pieddepage"/>
          <w:framePr w:wrap="none" w:vAnchor="text" w:hAnchor="margin" w:xAlign="center" w:y="1"/>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877C96">
          <w:rPr>
            <w:rStyle w:val="Numrodepage"/>
            <w:noProof/>
            <w:sz w:val="14"/>
            <w:szCs w:val="14"/>
          </w:rPr>
          <w:t>2</w:t>
        </w:r>
        <w:r w:rsidRPr="002C53DF">
          <w:rPr>
            <w:rStyle w:val="Numrodepage"/>
            <w:sz w:val="14"/>
            <w:szCs w:val="14"/>
          </w:rPr>
          <w:fldChar w:fldCharType="end"/>
        </w:r>
      </w:p>
    </w:sdtContent>
  </w:sdt>
  <w:p w:rsidR="00F83AC8" w:rsidRPr="008963DA" w:rsidRDefault="00F83AC8" w:rsidP="00F83AC8">
    <w:pPr>
      <w:pStyle w:val="Pieddepage"/>
      <w:rPr>
        <w:color w:val="939598"/>
        <w:sz w:val="14"/>
      </w:rPr>
    </w:pPr>
    <w:r>
      <w:rPr>
        <w:color w:val="939598"/>
        <w:sz w:val="14"/>
      </w:rPr>
      <w:t xml:space="preserve"> 6 place des Colombes – 35000 RENNES</w:t>
    </w:r>
  </w:p>
  <w:p w:rsidR="005B5F0C" w:rsidRDefault="005B5F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438065073"/>
      <w:docPartObj>
        <w:docPartGallery w:val="Page Numbers (Bottom of Page)"/>
        <w:docPartUnique/>
      </w:docPartObj>
    </w:sdtPr>
    <w:sdtEndPr>
      <w:rPr>
        <w:rStyle w:val="Numrodepage"/>
      </w:rPr>
    </w:sdtEndPr>
    <w:sdtContent>
      <w:p w:rsidR="00F83AC8" w:rsidRPr="00936E45" w:rsidRDefault="00F83AC8" w:rsidP="00F83AC8">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877C96">
          <w:rPr>
            <w:rStyle w:val="Numrodepage"/>
            <w:noProof/>
            <w:sz w:val="14"/>
            <w:szCs w:val="14"/>
          </w:rPr>
          <w:t>1</w:t>
        </w:r>
        <w:r w:rsidRPr="002C53DF">
          <w:rPr>
            <w:rStyle w:val="Numrodepage"/>
            <w:sz w:val="14"/>
            <w:szCs w:val="14"/>
          </w:rPr>
          <w:fldChar w:fldCharType="end"/>
        </w:r>
      </w:p>
    </w:sdtContent>
  </w:sdt>
  <w:p w:rsidR="00AB3196" w:rsidRPr="008963DA" w:rsidRDefault="00AB3196" w:rsidP="00AB3196">
    <w:pPr>
      <w:pStyle w:val="Pieddepage"/>
      <w:rPr>
        <w:color w:val="939598"/>
        <w:sz w:val="14"/>
      </w:rPr>
    </w:pPr>
    <w:r w:rsidRPr="008963DA">
      <w:rPr>
        <w:color w:val="939598"/>
        <w:sz w:val="14"/>
      </w:rPr>
      <w:t xml:space="preserve">Mél : </w:t>
    </w:r>
    <w:r>
      <w:rPr>
        <w:color w:val="939598"/>
        <w:sz w:val="14"/>
      </w:rPr>
      <w:t>ars-bretagne-recrutement@ars.sante.fr</w:t>
    </w:r>
  </w:p>
  <w:p w:rsidR="00AB3196" w:rsidRPr="008963DA" w:rsidRDefault="00AB3196" w:rsidP="00AB3196">
    <w:pPr>
      <w:pStyle w:val="Pieddepage"/>
      <w:rPr>
        <w:color w:val="939598"/>
        <w:sz w:val="14"/>
      </w:rPr>
    </w:pPr>
    <w:r>
      <w:rPr>
        <w:color w:val="939598"/>
        <w:sz w:val="14"/>
      </w:rPr>
      <w:t>6 place des Colombes – 35000 RENNES</w:t>
    </w:r>
  </w:p>
  <w:p w:rsidR="00F83AC8" w:rsidRDefault="00F83A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F1" w:rsidRDefault="009306F1" w:rsidP="001D0B64">
      <w:pPr>
        <w:spacing w:after="0" w:line="240" w:lineRule="auto"/>
      </w:pPr>
      <w:r>
        <w:separator/>
      </w:r>
    </w:p>
  </w:footnote>
  <w:footnote w:type="continuationSeparator" w:id="0">
    <w:p w:rsidR="009306F1" w:rsidRDefault="009306F1" w:rsidP="001D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C8" w:rsidRDefault="00545CF6">
    <w:pPr>
      <w:pStyle w:val="En-tte"/>
    </w:pPr>
    <w:r w:rsidRPr="00F83AC8">
      <w:rPr>
        <w:noProof/>
      </w:rPr>
      <w:drawing>
        <wp:anchor distT="0" distB="0" distL="114300" distR="114300" simplePos="0" relativeHeight="251659264" behindDoc="0" locked="0" layoutInCell="1" allowOverlap="1" wp14:anchorId="716B4E2D" wp14:editId="3CA3063D">
          <wp:simplePos x="0" y="0"/>
          <wp:positionH relativeFrom="margin">
            <wp:align>left</wp:align>
          </wp:positionH>
          <wp:positionV relativeFrom="paragraph">
            <wp:posOffset>-283210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8" name="Image 18"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AC8" w:rsidRPr="00F83AC8">
      <w:rPr>
        <w:noProof/>
      </w:rPr>
      <w:drawing>
        <wp:anchor distT="0" distB="0" distL="114300" distR="114300" simplePos="0" relativeHeight="251660288" behindDoc="0" locked="0" layoutInCell="1" allowOverlap="1" wp14:anchorId="27B5C777" wp14:editId="03B1F3A1">
          <wp:simplePos x="0" y="0"/>
          <wp:positionH relativeFrom="column">
            <wp:posOffset>4496872</wp:posOffset>
          </wp:positionH>
          <wp:positionV relativeFrom="paragraph">
            <wp:posOffset>-190245</wp:posOffset>
          </wp:positionV>
          <wp:extent cx="1515110" cy="872490"/>
          <wp:effectExtent l="0" t="0" r="8890" b="381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35pt;height:8.35pt" o:bullet="t">
        <v:imagedata r:id="rId1" o:title="j0115835"/>
      </v:shape>
    </w:pict>
  </w:numPicBullet>
  <w:abstractNum w:abstractNumId="0" w15:restartNumberingAfterBreak="0">
    <w:nsid w:val="0C21766B"/>
    <w:multiLevelType w:val="hybridMultilevel"/>
    <w:tmpl w:val="666E2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F71BC7"/>
    <w:multiLevelType w:val="hybridMultilevel"/>
    <w:tmpl w:val="667AB4A0"/>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51418"/>
    <w:multiLevelType w:val="hybridMultilevel"/>
    <w:tmpl w:val="37CAA270"/>
    <w:lvl w:ilvl="0" w:tplc="2A4AA31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236E70"/>
    <w:multiLevelType w:val="hybridMultilevel"/>
    <w:tmpl w:val="15F6D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5B358B"/>
    <w:multiLevelType w:val="hybridMultilevel"/>
    <w:tmpl w:val="AC98D8D6"/>
    <w:lvl w:ilvl="0" w:tplc="7912244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D20C99"/>
    <w:multiLevelType w:val="hybridMultilevel"/>
    <w:tmpl w:val="DD70C8FE"/>
    <w:lvl w:ilvl="0" w:tplc="2A4AA31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176BE"/>
    <w:multiLevelType w:val="hybridMultilevel"/>
    <w:tmpl w:val="396C35C0"/>
    <w:lvl w:ilvl="0" w:tplc="95EE63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C64B71"/>
    <w:multiLevelType w:val="hybridMultilevel"/>
    <w:tmpl w:val="F012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1323DD"/>
    <w:multiLevelType w:val="hybridMultilevel"/>
    <w:tmpl w:val="FF1697C8"/>
    <w:lvl w:ilvl="0" w:tplc="6A2A6582">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C3C5AE8"/>
    <w:multiLevelType w:val="hybridMultilevel"/>
    <w:tmpl w:val="AC360FEE"/>
    <w:lvl w:ilvl="0" w:tplc="F2EE3636">
      <w:start w:val="8"/>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643"/>
        </w:tabs>
        <w:ind w:left="643"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075A2"/>
    <w:multiLevelType w:val="hybridMultilevel"/>
    <w:tmpl w:val="9074301A"/>
    <w:lvl w:ilvl="0" w:tplc="63425D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0064AA"/>
    <w:multiLevelType w:val="hybridMultilevel"/>
    <w:tmpl w:val="923EBDAE"/>
    <w:lvl w:ilvl="0" w:tplc="FF3C307C">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3E3341"/>
    <w:multiLevelType w:val="hybridMultilevel"/>
    <w:tmpl w:val="161ECE4E"/>
    <w:lvl w:ilvl="0" w:tplc="72B86A28">
      <w:numFmt w:val="bullet"/>
      <w:lvlText w:val="-"/>
      <w:lvlJc w:val="left"/>
      <w:pPr>
        <w:ind w:left="1755" w:hanging="360"/>
      </w:pPr>
      <w:rPr>
        <w:rFonts w:ascii="Calibri" w:eastAsiaTheme="minorHAnsi" w:hAnsi="Calibri" w:cstheme="minorBidi"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13" w15:restartNumberingAfterBreak="0">
    <w:nsid w:val="5836469F"/>
    <w:multiLevelType w:val="hybridMultilevel"/>
    <w:tmpl w:val="2F2C1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4E2C7B"/>
    <w:multiLevelType w:val="hybridMultilevel"/>
    <w:tmpl w:val="2DAEB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E14DC9"/>
    <w:multiLevelType w:val="hybridMultilevel"/>
    <w:tmpl w:val="AD3E9FD6"/>
    <w:lvl w:ilvl="0" w:tplc="63425D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2139D2"/>
    <w:multiLevelType w:val="hybridMultilevel"/>
    <w:tmpl w:val="FD7E840A"/>
    <w:lvl w:ilvl="0" w:tplc="50648282">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C92E23"/>
    <w:multiLevelType w:val="hybridMultilevel"/>
    <w:tmpl w:val="2BD27476"/>
    <w:lvl w:ilvl="0" w:tplc="63425D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B50459"/>
    <w:multiLevelType w:val="hybridMultilevel"/>
    <w:tmpl w:val="7412744A"/>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172C00"/>
    <w:multiLevelType w:val="hybridMultilevel"/>
    <w:tmpl w:val="4E02F4D2"/>
    <w:lvl w:ilvl="0" w:tplc="6A2A6582">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E474B98"/>
    <w:multiLevelType w:val="hybridMultilevel"/>
    <w:tmpl w:val="73A05ECC"/>
    <w:lvl w:ilvl="0" w:tplc="3FE0E5E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7"/>
  </w:num>
  <w:num w:numId="4">
    <w:abstractNumId w:val="15"/>
  </w:num>
  <w:num w:numId="5">
    <w:abstractNumId w:val="16"/>
  </w:num>
  <w:num w:numId="6">
    <w:abstractNumId w:val="18"/>
  </w:num>
  <w:num w:numId="7">
    <w:abstractNumId w:val="11"/>
  </w:num>
  <w:num w:numId="8">
    <w:abstractNumId w:val="14"/>
  </w:num>
  <w:num w:numId="9">
    <w:abstractNumId w:val="4"/>
  </w:num>
  <w:num w:numId="10">
    <w:abstractNumId w:val="1"/>
  </w:num>
  <w:num w:numId="11">
    <w:abstractNumId w:val="9"/>
  </w:num>
  <w:num w:numId="12">
    <w:abstractNumId w:val="8"/>
  </w:num>
  <w:num w:numId="13">
    <w:abstractNumId w:val="19"/>
  </w:num>
  <w:num w:numId="14">
    <w:abstractNumId w:val="13"/>
  </w:num>
  <w:num w:numId="15">
    <w:abstractNumId w:val="12"/>
  </w:num>
  <w:num w:numId="16">
    <w:abstractNumId w:val="20"/>
  </w:num>
  <w:num w:numId="17">
    <w:abstractNumId w:val="3"/>
  </w:num>
  <w:num w:numId="18">
    <w:abstractNumId w:val="5"/>
  </w:num>
  <w:num w:numId="19">
    <w:abstractNumId w:val="2"/>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47"/>
    <w:rsid w:val="000029A6"/>
    <w:rsid w:val="000238E3"/>
    <w:rsid w:val="00033B4C"/>
    <w:rsid w:val="0005166C"/>
    <w:rsid w:val="00091C48"/>
    <w:rsid w:val="000A7AE9"/>
    <w:rsid w:val="000D7B5B"/>
    <w:rsid w:val="000E4547"/>
    <w:rsid w:val="00104A7D"/>
    <w:rsid w:val="00114E82"/>
    <w:rsid w:val="001249D6"/>
    <w:rsid w:val="001270DC"/>
    <w:rsid w:val="00130DFD"/>
    <w:rsid w:val="001363A9"/>
    <w:rsid w:val="00184D10"/>
    <w:rsid w:val="001874A5"/>
    <w:rsid w:val="001C0673"/>
    <w:rsid w:val="001C135B"/>
    <w:rsid w:val="001D0B64"/>
    <w:rsid w:val="001F7F5E"/>
    <w:rsid w:val="00202DF6"/>
    <w:rsid w:val="002075AB"/>
    <w:rsid w:val="002158CB"/>
    <w:rsid w:val="00234883"/>
    <w:rsid w:val="0025015B"/>
    <w:rsid w:val="002522F8"/>
    <w:rsid w:val="00280F0C"/>
    <w:rsid w:val="00286B78"/>
    <w:rsid w:val="002B07AA"/>
    <w:rsid w:val="002B24F4"/>
    <w:rsid w:val="002F787B"/>
    <w:rsid w:val="00313637"/>
    <w:rsid w:val="00332867"/>
    <w:rsid w:val="0033461E"/>
    <w:rsid w:val="00336D1E"/>
    <w:rsid w:val="003723B8"/>
    <w:rsid w:val="00390028"/>
    <w:rsid w:val="003D49F8"/>
    <w:rsid w:val="003F0529"/>
    <w:rsid w:val="00412408"/>
    <w:rsid w:val="00415ABE"/>
    <w:rsid w:val="004C277B"/>
    <w:rsid w:val="004D2987"/>
    <w:rsid w:val="004E4C9D"/>
    <w:rsid w:val="004F2AF3"/>
    <w:rsid w:val="00504700"/>
    <w:rsid w:val="00516F8E"/>
    <w:rsid w:val="0052540E"/>
    <w:rsid w:val="005338A2"/>
    <w:rsid w:val="00534E15"/>
    <w:rsid w:val="00545CF6"/>
    <w:rsid w:val="00545D4F"/>
    <w:rsid w:val="005523FF"/>
    <w:rsid w:val="0055270B"/>
    <w:rsid w:val="005770B4"/>
    <w:rsid w:val="00591450"/>
    <w:rsid w:val="005A43B8"/>
    <w:rsid w:val="005B5F0C"/>
    <w:rsid w:val="005C266E"/>
    <w:rsid w:val="005C5161"/>
    <w:rsid w:val="005E2700"/>
    <w:rsid w:val="00605FB3"/>
    <w:rsid w:val="00640036"/>
    <w:rsid w:val="00642277"/>
    <w:rsid w:val="00651010"/>
    <w:rsid w:val="0068452A"/>
    <w:rsid w:val="006B753F"/>
    <w:rsid w:val="006C3D47"/>
    <w:rsid w:val="006E5C2D"/>
    <w:rsid w:val="007253D1"/>
    <w:rsid w:val="007301EE"/>
    <w:rsid w:val="00730686"/>
    <w:rsid w:val="007328A3"/>
    <w:rsid w:val="0073308E"/>
    <w:rsid w:val="0073587E"/>
    <w:rsid w:val="0075331C"/>
    <w:rsid w:val="00760A1A"/>
    <w:rsid w:val="00764C6D"/>
    <w:rsid w:val="0077533A"/>
    <w:rsid w:val="0077649D"/>
    <w:rsid w:val="007930A1"/>
    <w:rsid w:val="00797A6E"/>
    <w:rsid w:val="007A5247"/>
    <w:rsid w:val="008031C0"/>
    <w:rsid w:val="00824BF2"/>
    <w:rsid w:val="00827F72"/>
    <w:rsid w:val="008301B9"/>
    <w:rsid w:val="00854AAD"/>
    <w:rsid w:val="00870F68"/>
    <w:rsid w:val="00877C96"/>
    <w:rsid w:val="008E358C"/>
    <w:rsid w:val="008F3F74"/>
    <w:rsid w:val="009018D4"/>
    <w:rsid w:val="00902A37"/>
    <w:rsid w:val="00905AAF"/>
    <w:rsid w:val="009306F1"/>
    <w:rsid w:val="00945F89"/>
    <w:rsid w:val="00956391"/>
    <w:rsid w:val="009721E4"/>
    <w:rsid w:val="00986B83"/>
    <w:rsid w:val="009A6416"/>
    <w:rsid w:val="009C08DA"/>
    <w:rsid w:val="009D54FA"/>
    <w:rsid w:val="009F38A8"/>
    <w:rsid w:val="009F4A16"/>
    <w:rsid w:val="00A279F4"/>
    <w:rsid w:val="00A336A0"/>
    <w:rsid w:val="00AA5F2A"/>
    <w:rsid w:val="00AB3196"/>
    <w:rsid w:val="00AB6A42"/>
    <w:rsid w:val="00AC02DF"/>
    <w:rsid w:val="00AD0C22"/>
    <w:rsid w:val="00AF27D8"/>
    <w:rsid w:val="00B160AC"/>
    <w:rsid w:val="00B50D2B"/>
    <w:rsid w:val="00B52C6C"/>
    <w:rsid w:val="00B66867"/>
    <w:rsid w:val="00B709F9"/>
    <w:rsid w:val="00B77D62"/>
    <w:rsid w:val="00B95C1F"/>
    <w:rsid w:val="00B97044"/>
    <w:rsid w:val="00BB35C2"/>
    <w:rsid w:val="00BB410A"/>
    <w:rsid w:val="00BD7864"/>
    <w:rsid w:val="00C27571"/>
    <w:rsid w:val="00C418A9"/>
    <w:rsid w:val="00C540ED"/>
    <w:rsid w:val="00CE13CA"/>
    <w:rsid w:val="00CE55D7"/>
    <w:rsid w:val="00CE6B39"/>
    <w:rsid w:val="00CE6B5D"/>
    <w:rsid w:val="00D10F00"/>
    <w:rsid w:val="00D5783A"/>
    <w:rsid w:val="00D80DA1"/>
    <w:rsid w:val="00DB16DC"/>
    <w:rsid w:val="00DE2ED8"/>
    <w:rsid w:val="00E121AD"/>
    <w:rsid w:val="00E16842"/>
    <w:rsid w:val="00EB6720"/>
    <w:rsid w:val="00F32097"/>
    <w:rsid w:val="00F5346B"/>
    <w:rsid w:val="00F70E41"/>
    <w:rsid w:val="00F82747"/>
    <w:rsid w:val="00F82E18"/>
    <w:rsid w:val="00F83AC8"/>
    <w:rsid w:val="00FA1BB4"/>
    <w:rsid w:val="00FE5019"/>
    <w:rsid w:val="00FE67DC"/>
    <w:rsid w:val="00FF4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CA06"/>
  <w15:docId w15:val="{DFD8862E-A68A-424F-959A-4095D64D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D0B64"/>
    <w:pPr>
      <w:tabs>
        <w:tab w:val="center" w:pos="4536"/>
        <w:tab w:val="right" w:pos="9072"/>
      </w:tabs>
      <w:spacing w:after="0" w:line="240" w:lineRule="auto"/>
    </w:pPr>
  </w:style>
  <w:style w:type="character" w:customStyle="1" w:styleId="En-tteCar">
    <w:name w:val="En-tête Car"/>
    <w:basedOn w:val="Policepardfaut"/>
    <w:link w:val="En-tte"/>
    <w:uiPriority w:val="99"/>
    <w:rsid w:val="001D0B64"/>
  </w:style>
  <w:style w:type="paragraph" w:styleId="Pieddepage">
    <w:name w:val="footer"/>
    <w:basedOn w:val="Normal"/>
    <w:link w:val="PieddepageCar"/>
    <w:uiPriority w:val="99"/>
    <w:unhideWhenUsed/>
    <w:rsid w:val="001D0B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0B64"/>
  </w:style>
  <w:style w:type="paragraph" w:styleId="Paragraphedeliste">
    <w:name w:val="List Paragraph"/>
    <w:basedOn w:val="Normal"/>
    <w:uiPriority w:val="34"/>
    <w:qFormat/>
    <w:rsid w:val="00B66867"/>
    <w:pPr>
      <w:ind w:left="720"/>
      <w:contextualSpacing/>
    </w:pPr>
  </w:style>
  <w:style w:type="paragraph" w:customStyle="1" w:styleId="Default">
    <w:name w:val="Default"/>
    <w:rsid w:val="00905AA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05A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AAF"/>
    <w:rPr>
      <w:rFonts w:ascii="Tahoma" w:hAnsi="Tahoma" w:cs="Tahoma"/>
      <w:sz w:val="16"/>
      <w:szCs w:val="16"/>
    </w:rPr>
  </w:style>
  <w:style w:type="character" w:styleId="lev">
    <w:name w:val="Strong"/>
    <w:basedOn w:val="Policepardfaut"/>
    <w:uiPriority w:val="22"/>
    <w:qFormat/>
    <w:rsid w:val="002158CB"/>
    <w:rPr>
      <w:b/>
      <w:bCs/>
    </w:rPr>
  </w:style>
  <w:style w:type="character" w:styleId="Numrodepage">
    <w:name w:val="page number"/>
    <w:basedOn w:val="Policepardfaut"/>
    <w:uiPriority w:val="99"/>
    <w:semiHidden/>
    <w:unhideWhenUsed/>
    <w:rsid w:val="00F83AC8"/>
  </w:style>
  <w:style w:type="table" w:customStyle="1" w:styleId="Grilledutableau1">
    <w:name w:val="Grille du tableau1"/>
    <w:basedOn w:val="TableauNormal"/>
    <w:next w:val="Grilledutableau"/>
    <w:uiPriority w:val="59"/>
    <w:rsid w:val="00B5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07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1940">
      <w:bodyDiv w:val="1"/>
      <w:marLeft w:val="0"/>
      <w:marRight w:val="0"/>
      <w:marTop w:val="0"/>
      <w:marBottom w:val="0"/>
      <w:divBdr>
        <w:top w:val="none" w:sz="0" w:space="0" w:color="auto"/>
        <w:left w:val="none" w:sz="0" w:space="0" w:color="auto"/>
        <w:bottom w:val="none" w:sz="0" w:space="0" w:color="auto"/>
        <w:right w:val="none" w:sz="0" w:space="0" w:color="auto"/>
      </w:divBdr>
    </w:div>
    <w:div w:id="233442505">
      <w:bodyDiv w:val="1"/>
      <w:marLeft w:val="0"/>
      <w:marRight w:val="0"/>
      <w:marTop w:val="0"/>
      <w:marBottom w:val="0"/>
      <w:divBdr>
        <w:top w:val="none" w:sz="0" w:space="0" w:color="auto"/>
        <w:left w:val="none" w:sz="0" w:space="0" w:color="auto"/>
        <w:bottom w:val="none" w:sz="0" w:space="0" w:color="auto"/>
        <w:right w:val="none" w:sz="0" w:space="0" w:color="auto"/>
      </w:divBdr>
    </w:div>
    <w:div w:id="295990909">
      <w:bodyDiv w:val="1"/>
      <w:marLeft w:val="0"/>
      <w:marRight w:val="0"/>
      <w:marTop w:val="0"/>
      <w:marBottom w:val="0"/>
      <w:divBdr>
        <w:top w:val="none" w:sz="0" w:space="0" w:color="auto"/>
        <w:left w:val="none" w:sz="0" w:space="0" w:color="auto"/>
        <w:bottom w:val="none" w:sz="0" w:space="0" w:color="auto"/>
        <w:right w:val="none" w:sz="0" w:space="0" w:color="auto"/>
      </w:divBdr>
    </w:div>
    <w:div w:id="336344869">
      <w:bodyDiv w:val="1"/>
      <w:marLeft w:val="0"/>
      <w:marRight w:val="0"/>
      <w:marTop w:val="0"/>
      <w:marBottom w:val="0"/>
      <w:divBdr>
        <w:top w:val="none" w:sz="0" w:space="0" w:color="auto"/>
        <w:left w:val="none" w:sz="0" w:space="0" w:color="auto"/>
        <w:bottom w:val="none" w:sz="0" w:space="0" w:color="auto"/>
        <w:right w:val="none" w:sz="0" w:space="0" w:color="auto"/>
      </w:divBdr>
    </w:div>
    <w:div w:id="415829698">
      <w:bodyDiv w:val="1"/>
      <w:marLeft w:val="0"/>
      <w:marRight w:val="0"/>
      <w:marTop w:val="0"/>
      <w:marBottom w:val="0"/>
      <w:divBdr>
        <w:top w:val="none" w:sz="0" w:space="0" w:color="auto"/>
        <w:left w:val="none" w:sz="0" w:space="0" w:color="auto"/>
        <w:bottom w:val="none" w:sz="0" w:space="0" w:color="auto"/>
        <w:right w:val="none" w:sz="0" w:space="0" w:color="auto"/>
      </w:divBdr>
    </w:div>
    <w:div w:id="699890967">
      <w:bodyDiv w:val="1"/>
      <w:marLeft w:val="0"/>
      <w:marRight w:val="0"/>
      <w:marTop w:val="0"/>
      <w:marBottom w:val="0"/>
      <w:divBdr>
        <w:top w:val="none" w:sz="0" w:space="0" w:color="auto"/>
        <w:left w:val="none" w:sz="0" w:space="0" w:color="auto"/>
        <w:bottom w:val="none" w:sz="0" w:space="0" w:color="auto"/>
        <w:right w:val="none" w:sz="0" w:space="0" w:color="auto"/>
      </w:divBdr>
    </w:div>
    <w:div w:id="1134718330">
      <w:bodyDiv w:val="1"/>
      <w:marLeft w:val="0"/>
      <w:marRight w:val="0"/>
      <w:marTop w:val="0"/>
      <w:marBottom w:val="0"/>
      <w:divBdr>
        <w:top w:val="none" w:sz="0" w:space="0" w:color="auto"/>
        <w:left w:val="none" w:sz="0" w:space="0" w:color="auto"/>
        <w:bottom w:val="none" w:sz="0" w:space="0" w:color="auto"/>
        <w:right w:val="none" w:sz="0" w:space="0" w:color="auto"/>
      </w:divBdr>
    </w:div>
    <w:div w:id="1150903096">
      <w:bodyDiv w:val="1"/>
      <w:marLeft w:val="0"/>
      <w:marRight w:val="0"/>
      <w:marTop w:val="0"/>
      <w:marBottom w:val="0"/>
      <w:divBdr>
        <w:top w:val="none" w:sz="0" w:space="0" w:color="auto"/>
        <w:left w:val="none" w:sz="0" w:space="0" w:color="auto"/>
        <w:bottom w:val="none" w:sz="0" w:space="0" w:color="auto"/>
        <w:right w:val="none" w:sz="0" w:space="0" w:color="auto"/>
      </w:divBdr>
    </w:div>
    <w:div w:id="1184126341">
      <w:bodyDiv w:val="1"/>
      <w:marLeft w:val="0"/>
      <w:marRight w:val="0"/>
      <w:marTop w:val="0"/>
      <w:marBottom w:val="0"/>
      <w:divBdr>
        <w:top w:val="none" w:sz="0" w:space="0" w:color="auto"/>
        <w:left w:val="none" w:sz="0" w:space="0" w:color="auto"/>
        <w:bottom w:val="none" w:sz="0" w:space="0" w:color="auto"/>
        <w:right w:val="none" w:sz="0" w:space="0" w:color="auto"/>
      </w:divBdr>
    </w:div>
    <w:div w:id="1190027824">
      <w:bodyDiv w:val="1"/>
      <w:marLeft w:val="0"/>
      <w:marRight w:val="0"/>
      <w:marTop w:val="0"/>
      <w:marBottom w:val="0"/>
      <w:divBdr>
        <w:top w:val="none" w:sz="0" w:space="0" w:color="auto"/>
        <w:left w:val="none" w:sz="0" w:space="0" w:color="auto"/>
        <w:bottom w:val="none" w:sz="0" w:space="0" w:color="auto"/>
        <w:right w:val="none" w:sz="0" w:space="0" w:color="auto"/>
      </w:divBdr>
    </w:div>
    <w:div w:id="1306591971">
      <w:bodyDiv w:val="1"/>
      <w:marLeft w:val="0"/>
      <w:marRight w:val="0"/>
      <w:marTop w:val="0"/>
      <w:marBottom w:val="0"/>
      <w:divBdr>
        <w:top w:val="none" w:sz="0" w:space="0" w:color="auto"/>
        <w:left w:val="none" w:sz="0" w:space="0" w:color="auto"/>
        <w:bottom w:val="none" w:sz="0" w:space="0" w:color="auto"/>
        <w:right w:val="none" w:sz="0" w:space="0" w:color="auto"/>
      </w:divBdr>
    </w:div>
    <w:div w:id="1453552806">
      <w:bodyDiv w:val="1"/>
      <w:marLeft w:val="0"/>
      <w:marRight w:val="0"/>
      <w:marTop w:val="0"/>
      <w:marBottom w:val="0"/>
      <w:divBdr>
        <w:top w:val="none" w:sz="0" w:space="0" w:color="auto"/>
        <w:left w:val="none" w:sz="0" w:space="0" w:color="auto"/>
        <w:bottom w:val="none" w:sz="0" w:space="0" w:color="auto"/>
        <w:right w:val="none" w:sz="0" w:space="0" w:color="auto"/>
      </w:divBdr>
    </w:div>
    <w:div w:id="1508519785">
      <w:bodyDiv w:val="1"/>
      <w:marLeft w:val="0"/>
      <w:marRight w:val="0"/>
      <w:marTop w:val="0"/>
      <w:marBottom w:val="0"/>
      <w:divBdr>
        <w:top w:val="none" w:sz="0" w:space="0" w:color="auto"/>
        <w:left w:val="none" w:sz="0" w:space="0" w:color="auto"/>
        <w:bottom w:val="none" w:sz="0" w:space="0" w:color="auto"/>
        <w:right w:val="none" w:sz="0" w:space="0" w:color="auto"/>
      </w:divBdr>
    </w:div>
    <w:div w:id="1635913399">
      <w:bodyDiv w:val="1"/>
      <w:marLeft w:val="0"/>
      <w:marRight w:val="0"/>
      <w:marTop w:val="0"/>
      <w:marBottom w:val="0"/>
      <w:divBdr>
        <w:top w:val="none" w:sz="0" w:space="0" w:color="auto"/>
        <w:left w:val="none" w:sz="0" w:space="0" w:color="auto"/>
        <w:bottom w:val="none" w:sz="0" w:space="0" w:color="auto"/>
        <w:right w:val="none" w:sz="0" w:space="0" w:color="auto"/>
      </w:divBdr>
    </w:div>
    <w:div w:id="1654483645">
      <w:bodyDiv w:val="1"/>
      <w:marLeft w:val="0"/>
      <w:marRight w:val="0"/>
      <w:marTop w:val="0"/>
      <w:marBottom w:val="0"/>
      <w:divBdr>
        <w:top w:val="none" w:sz="0" w:space="0" w:color="auto"/>
        <w:left w:val="none" w:sz="0" w:space="0" w:color="auto"/>
        <w:bottom w:val="none" w:sz="0" w:space="0" w:color="auto"/>
        <w:right w:val="none" w:sz="0" w:space="0" w:color="auto"/>
      </w:divBdr>
      <w:divsChild>
        <w:div w:id="926110752">
          <w:marLeft w:val="0"/>
          <w:marRight w:val="0"/>
          <w:marTop w:val="0"/>
          <w:marBottom w:val="0"/>
          <w:divBdr>
            <w:top w:val="none" w:sz="0" w:space="0" w:color="auto"/>
            <w:left w:val="none" w:sz="0" w:space="0" w:color="auto"/>
            <w:bottom w:val="none" w:sz="0" w:space="0" w:color="auto"/>
            <w:right w:val="none" w:sz="0" w:space="0" w:color="auto"/>
          </w:divBdr>
          <w:divsChild>
            <w:div w:id="574126727">
              <w:marLeft w:val="0"/>
              <w:marRight w:val="0"/>
              <w:marTop w:val="0"/>
              <w:marBottom w:val="0"/>
              <w:divBdr>
                <w:top w:val="single" w:sz="6" w:space="30" w:color="CCCCCC"/>
                <w:left w:val="none" w:sz="0" w:space="0" w:color="auto"/>
                <w:bottom w:val="none" w:sz="0" w:space="0" w:color="auto"/>
                <w:right w:val="none" w:sz="0" w:space="0" w:color="auto"/>
              </w:divBdr>
              <w:divsChild>
                <w:div w:id="10367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ant%C3%A9-environnement" TargetMode="External"/><Relationship Id="rId13" Type="http://schemas.openxmlformats.org/officeDocument/2006/relationships/hyperlink" Target="https://fr.wikipedia.org/wiki/Van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R%C3%A9gion_Bretag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Vannes_agglo_-_Golfe_du_Morbih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r.wikipedia.org/wiki/Vannes_agglo_-_Golfe_du_Morbihan" TargetMode="External"/><Relationship Id="rId4" Type="http://schemas.openxmlformats.org/officeDocument/2006/relationships/settings" Target="settings.xml"/><Relationship Id="rId9" Type="http://schemas.openxmlformats.org/officeDocument/2006/relationships/hyperlink" Target="https://fr.wikipedia.org/wiki/D%C3%A9partement_fran%C3%A7ai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44962-1E82-49C9-91F0-0F74A89F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DAVALIS, Chloé</cp:lastModifiedBy>
  <cp:revision>3</cp:revision>
  <cp:lastPrinted>2020-12-17T16:39:00Z</cp:lastPrinted>
  <dcterms:created xsi:type="dcterms:W3CDTF">2021-02-24T13:43:00Z</dcterms:created>
  <dcterms:modified xsi:type="dcterms:W3CDTF">2021-02-24T13:46:00Z</dcterms:modified>
</cp:coreProperties>
</file>